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73D244" w14:textId="77777777" w:rsidR="000155F3" w:rsidRDefault="000155F3">
      <w:pPr>
        <w:pStyle w:val="Titel"/>
        <w:rPr>
          <w:kern w:val="0"/>
          <w14:ligatures w14:val="none"/>
        </w:rPr>
      </w:pPr>
      <w:proofErr w:type="gramStart"/>
      <w:r>
        <w:t>BDA Genesis</w:t>
      </w:r>
      <w:proofErr w:type="gramEnd"/>
      <w:r>
        <w:t xml:space="preserve"> – Self-Assessment Testprotokoll TH-001</w:t>
      </w:r>
    </w:p>
    <w:p w14:paraId="7F5635E5" w14:textId="77777777" w:rsidR="000155F3" w:rsidRDefault="000155F3">
      <w:pPr>
        <w:pStyle w:val="Untertitel"/>
      </w:pPr>
      <w:r>
        <w:t>Version: v1.0 | Schutzklasse: ROT – interne Verwendung</w:t>
      </w:r>
    </w:p>
    <w:p w14:paraId="295E7F10" w14:textId="77777777" w:rsidR="000155F3" w:rsidRDefault="000155F3">
      <w:pPr>
        <w:pStyle w:val="berschrift2"/>
        <w:rPr>
          <w:rFonts w:eastAsia="Times New Roman"/>
        </w:rPr>
      </w:pPr>
      <w:r>
        <w:rPr>
          <w:rFonts w:eastAsia="Times New Roman"/>
        </w:rPr>
        <w:t>A. Rahmeninformationen</w:t>
      </w:r>
    </w:p>
    <w:p w14:paraId="293D5FCE" w14:textId="77777777" w:rsidR="000155F3" w:rsidRDefault="000155F3">
      <w:pPr>
        <w:rPr>
          <w:rFonts w:eastAsiaTheme="minorEastAsia"/>
        </w:rPr>
      </w:pPr>
      <w:r>
        <w:rPr>
          <w:b/>
          <w:bCs/>
        </w:rPr>
        <w:t>Testfall-ID:</w:t>
      </w:r>
      <w:r>
        <w:t xml:space="preserve"> TH-001 – Wasserschaden Heizkörpernische, Schlafzimmer</w:t>
      </w:r>
    </w:p>
    <w:p w14:paraId="32913741" w14:textId="77777777" w:rsidR="000155F3" w:rsidRDefault="000155F3">
      <w:r>
        <w:rPr>
          <w:b/>
          <w:bCs/>
        </w:rPr>
        <w:t>Modul:</w:t>
      </w:r>
      <w:r>
        <w:t xml:space="preserve"> BDA Thermo-Hygro-Diagnosemodul</w:t>
      </w:r>
    </w:p>
    <w:p w14:paraId="08019527" w14:textId="77777777" w:rsidR="000155F3" w:rsidRDefault="000155F3">
      <w:r>
        <w:rPr>
          <w:b/>
          <w:bCs/>
        </w:rPr>
        <w:t>Masterprompt-Version:</w:t>
      </w:r>
      <w:r>
        <w:t xml:space="preserve"> BDA_Thermo-Hygro_Masterprompt_v1.2_ROT</w:t>
      </w:r>
    </w:p>
    <w:p w14:paraId="3FC3B928" w14:textId="1B03C239" w:rsidR="000155F3" w:rsidRPr="00F56964" w:rsidRDefault="000155F3">
      <w:r w:rsidRPr="00F56964">
        <w:rPr>
          <w:b/>
          <w:bCs/>
        </w:rPr>
        <w:t>Testdatum:</w:t>
      </w:r>
      <w:r w:rsidRPr="00F56964">
        <w:t xml:space="preserve"> 2025-12-21</w:t>
      </w:r>
    </w:p>
    <w:p w14:paraId="52A31204" w14:textId="577BB3A7" w:rsidR="000155F3" w:rsidRDefault="000155F3">
      <w:r w:rsidRPr="00F56964">
        <w:rPr>
          <w:b/>
          <w:bCs/>
        </w:rPr>
        <w:t>Testzeitraum:</w:t>
      </w:r>
      <w:r w:rsidRPr="00F56964">
        <w:t xml:space="preserve"> von/</w:t>
      </w:r>
      <w:proofErr w:type="gramStart"/>
      <w:r w:rsidRPr="00F56964">
        <w:t>bis</w:t>
      </w:r>
      <w:r w:rsidR="00F56964" w:rsidRPr="00F56964">
        <w:t xml:space="preserve">  21</w:t>
      </w:r>
      <w:r w:rsidRPr="00F56964">
        <w:t>:</w:t>
      </w:r>
      <w:r w:rsidR="00F56964" w:rsidRPr="00F56964">
        <w:t>23</w:t>
      </w:r>
      <w:proofErr w:type="gramEnd"/>
      <w:r w:rsidRPr="00F56964">
        <w:t>–</w:t>
      </w:r>
      <w:r w:rsidR="00F56964" w:rsidRPr="00F56964">
        <w:t>21</w:t>
      </w:r>
      <w:r w:rsidRPr="00F56964">
        <w:t>:</w:t>
      </w:r>
      <w:r w:rsidR="00F56964" w:rsidRPr="00F56964">
        <w:t>5</w:t>
      </w:r>
      <w:r w:rsidRPr="00F56964">
        <w:t>0 Uhr, Europe/Berlin</w:t>
      </w:r>
    </w:p>
    <w:p w14:paraId="54F6FF2A" w14:textId="7BD494A5" w:rsidR="000155F3" w:rsidRDefault="000155F3">
      <w:r>
        <w:rPr>
          <w:b/>
          <w:bCs/>
        </w:rPr>
        <w:t>Prüfer:</w:t>
      </w:r>
      <w:r>
        <w:t xml:space="preserve"> Marcus Steffen</w:t>
      </w:r>
    </w:p>
    <w:p w14:paraId="22A7D4B0" w14:textId="77777777" w:rsidR="000155F3" w:rsidRDefault="000155F3">
      <w:r>
        <w:rPr>
          <w:b/>
          <w:bCs/>
        </w:rPr>
        <w:t>Eingesetztes Input-Bundle:</w:t>
      </w:r>
    </w:p>
    <w:p w14:paraId="1B972308" w14:textId="77777777" w:rsidR="000155F3" w:rsidRDefault="000155F3">
      <w:r>
        <w:t>- Dateiname Bundle: TH_TEST_001_InputBundle_v1.0.zip</w:t>
      </w:r>
    </w:p>
    <w:p w14:paraId="10279B23" w14:textId="77777777" w:rsidR="000155F3" w:rsidRDefault="000155F3">
      <w:r>
        <w:t>- Speicherort: D:\OneDrive\00-Sachverstaendiger\GPT\1_BDA_Genesis\02_Systemarchitektur_Ebene1\02_Testframework\02_Testcases\TH_TEST_001_Wasserschaden_Schlafzimmer</w:t>
      </w:r>
    </w:p>
    <w:p w14:paraId="5A774E27" w14:textId="2D6C0C50" w:rsidR="000155F3" w:rsidRDefault="000155F3">
      <w:r>
        <w:t xml:space="preserve">- SHA-256 Input-Bundle: </w:t>
      </w:r>
      <w:r w:rsidR="00D3623A" w:rsidRPr="00D3623A">
        <w:t>2836B985EBFF639635306F23EE663C268ACF38F3194BA0D6D7E441A058424A2B</w:t>
      </w:r>
    </w:p>
    <w:p w14:paraId="2DFE101A" w14:textId="77777777" w:rsidR="000155F3" w:rsidRDefault="000155F3">
      <w:pPr>
        <w:pStyle w:val="berschrift2"/>
        <w:rPr>
          <w:rFonts w:eastAsia="Times New Roman"/>
        </w:rPr>
      </w:pPr>
      <w:r>
        <w:rPr>
          <w:rFonts w:eastAsia="Times New Roman"/>
        </w:rPr>
        <w:t>B. Testreihe A – Determinismus / Reproduzierbarkeit</w:t>
      </w:r>
    </w:p>
    <w:p w14:paraId="06BC786F" w14:textId="77777777" w:rsidR="000155F3" w:rsidRDefault="000155F3">
      <w:pPr>
        <w:rPr>
          <w:rFonts w:eastAsiaTheme="minorEastAsia"/>
        </w:rPr>
      </w:pPr>
      <w:r>
        <w:rPr>
          <w:b/>
          <w:bCs/>
        </w:rPr>
        <w:t>Ziel:</w:t>
      </w:r>
    </w:p>
    <w:p w14:paraId="0764FCA4" w14:textId="77777777" w:rsidR="000155F3" w:rsidRDefault="000155F3">
      <w:r>
        <w:t>Prüfung, ob das Modul bei identischem Prompt und identischem Input-Bundle konsistente Ausgaben erzeugt (inhaltlich und hinsichtlich Hash-Stabilität).</w:t>
      </w:r>
    </w:p>
    <w:p w14:paraId="483CC98A" w14:textId="77777777" w:rsidR="000155F3" w:rsidRDefault="000155F3">
      <w:r>
        <w:rPr>
          <w:b/>
          <w:bCs/>
        </w:rPr>
        <w:t>Testsetup:</w:t>
      </w:r>
    </w:p>
    <w:p w14:paraId="5F0C822E" w14:textId="77777777" w:rsidR="000155F3" w:rsidRDefault="000155F3" w:rsidP="000155F3">
      <w:pPr>
        <w:numPr>
          <w:ilvl w:val="0"/>
          <w:numId w:val="17"/>
        </w:numPr>
        <w:spacing w:line="256" w:lineRule="auto"/>
        <w:rPr>
          <w:rFonts w:eastAsia="Times New Roman"/>
        </w:rPr>
      </w:pPr>
      <w:r>
        <w:rPr>
          <w:rFonts w:eastAsia="Times New Roman"/>
        </w:rPr>
        <w:t>Prompt: 05_Testprompt_TH-001.txt</w:t>
      </w:r>
    </w:p>
    <w:p w14:paraId="7DEB10C0" w14:textId="77777777" w:rsidR="000155F3" w:rsidRDefault="000155F3" w:rsidP="000155F3">
      <w:pPr>
        <w:numPr>
          <w:ilvl w:val="0"/>
          <w:numId w:val="17"/>
        </w:numPr>
        <w:spacing w:line="256" w:lineRule="auto"/>
        <w:rPr>
          <w:rFonts w:eastAsia="Times New Roman"/>
        </w:rPr>
      </w:pPr>
      <w:r>
        <w:rPr>
          <w:rFonts w:eastAsia="Times New Roman"/>
        </w:rPr>
        <w:t>Input: TH_TEST_001_InputBundle_v1.0.zip (Fallbeschreibung, Messwerte, Bauteilaufbau)</w:t>
      </w:r>
    </w:p>
    <w:p w14:paraId="3DEE811F" w14:textId="77777777" w:rsidR="000155F3" w:rsidRDefault="000155F3" w:rsidP="000155F3">
      <w:pPr>
        <w:numPr>
          <w:ilvl w:val="0"/>
          <w:numId w:val="17"/>
        </w:numPr>
        <w:spacing w:line="256" w:lineRule="auto"/>
        <w:rPr>
          <w:rFonts w:eastAsia="Times New Roman"/>
        </w:rPr>
      </w:pPr>
      <w:r>
        <w:rPr>
          <w:rFonts w:eastAsia="Times New Roman"/>
        </w:rPr>
        <w:t>Ausgabeformat: strukturierte Kurzbewertung mit Punkten 1–5 (Schadensbild, Einordnung, Ursachen a/b, Schimmelrisiko, Ergänzungsprüfungen)</w:t>
      </w:r>
    </w:p>
    <w:p w14:paraId="01DC6758" w14:textId="77777777" w:rsidR="000155F3" w:rsidRDefault="000155F3">
      <w:pPr>
        <w:rPr>
          <w:rFonts w:eastAsiaTheme="minorEastAsia"/>
        </w:rPr>
      </w:pPr>
      <w:r>
        <w:rPr>
          <w:b/>
          <w:bCs/>
        </w:rPr>
        <w:t>Durchgeführte Läufe:</w:t>
      </w:r>
    </w:p>
    <w:tbl>
      <w:tblPr>
        <w:tblW w:w="4244" w:type="pct"/>
        <w:tblCellMar>
          <w:left w:w="0" w:type="dxa"/>
          <w:right w:w="0" w:type="dxa"/>
        </w:tblCellMar>
        <w:tblLook w:val="04A0" w:firstRow="1" w:lastRow="0" w:firstColumn="1" w:lastColumn="0" w:noHBand="0" w:noVBand="1"/>
      </w:tblPr>
      <w:tblGrid>
        <w:gridCol w:w="303"/>
        <w:gridCol w:w="1663"/>
        <w:gridCol w:w="5889"/>
        <w:gridCol w:w="916"/>
      </w:tblGrid>
      <w:tr w:rsidR="000155F3" w14:paraId="48088179" w14:textId="77777777" w:rsidTr="006618FF">
        <w:tc>
          <w:tcPr>
            <w:tcW w:w="0" w:type="auto"/>
            <w:tcBorders>
              <w:top w:val="outset" w:sz="6" w:space="0" w:color="auto"/>
              <w:left w:val="outset" w:sz="6" w:space="0" w:color="auto"/>
              <w:bottom w:val="outset" w:sz="6" w:space="0" w:color="auto"/>
              <w:right w:val="outset" w:sz="6" w:space="0" w:color="auto"/>
            </w:tcBorders>
            <w:hideMark/>
          </w:tcPr>
          <w:p w14:paraId="7F754FB7" w14:textId="77777777" w:rsidR="000155F3" w:rsidRDefault="000155F3">
            <w:pPr>
              <w:spacing w:after="0" w:line="240" w:lineRule="auto"/>
              <w:rPr>
                <w:b/>
                <w:bCs/>
              </w:rPr>
            </w:pPr>
            <w:r>
              <w:rPr>
                <w:b/>
                <w:bCs/>
              </w:rPr>
              <w:t>Run</w:t>
            </w:r>
          </w:p>
        </w:tc>
        <w:tc>
          <w:tcPr>
            <w:tcW w:w="0" w:type="auto"/>
            <w:tcBorders>
              <w:top w:val="outset" w:sz="6" w:space="0" w:color="auto"/>
              <w:left w:val="outset" w:sz="6" w:space="0" w:color="auto"/>
              <w:bottom w:val="outset" w:sz="6" w:space="0" w:color="auto"/>
              <w:right w:val="outset" w:sz="6" w:space="0" w:color="auto"/>
            </w:tcBorders>
            <w:hideMark/>
          </w:tcPr>
          <w:p w14:paraId="52801AE4" w14:textId="77777777" w:rsidR="000155F3" w:rsidRDefault="000155F3">
            <w:pPr>
              <w:spacing w:after="0" w:line="240" w:lineRule="auto"/>
              <w:rPr>
                <w:b/>
                <w:bCs/>
              </w:rPr>
            </w:pPr>
            <w:r>
              <w:rPr>
                <w:b/>
                <w:bCs/>
              </w:rPr>
              <w:t>Dateiname Output</w:t>
            </w:r>
          </w:p>
        </w:tc>
        <w:tc>
          <w:tcPr>
            <w:tcW w:w="3033" w:type="pct"/>
            <w:tcBorders>
              <w:top w:val="outset" w:sz="6" w:space="0" w:color="auto"/>
              <w:left w:val="outset" w:sz="6" w:space="0" w:color="auto"/>
              <w:bottom w:val="outset" w:sz="6" w:space="0" w:color="auto"/>
              <w:right w:val="outset" w:sz="6" w:space="0" w:color="auto"/>
            </w:tcBorders>
            <w:hideMark/>
          </w:tcPr>
          <w:p w14:paraId="17946D87" w14:textId="77777777" w:rsidR="000155F3" w:rsidRDefault="000155F3">
            <w:pPr>
              <w:spacing w:after="0" w:line="240" w:lineRule="auto"/>
              <w:rPr>
                <w:b/>
                <w:bCs/>
              </w:rPr>
            </w:pPr>
            <w:r>
              <w:rPr>
                <w:b/>
                <w:bCs/>
              </w:rPr>
              <w:t>SHA-256 Hash</w:t>
            </w:r>
          </w:p>
        </w:tc>
        <w:tc>
          <w:tcPr>
            <w:tcW w:w="0" w:type="auto"/>
            <w:tcBorders>
              <w:top w:val="outset" w:sz="6" w:space="0" w:color="auto"/>
              <w:left w:val="outset" w:sz="6" w:space="0" w:color="auto"/>
              <w:bottom w:val="outset" w:sz="6" w:space="0" w:color="auto"/>
              <w:right w:val="outset" w:sz="6" w:space="0" w:color="auto"/>
            </w:tcBorders>
            <w:hideMark/>
          </w:tcPr>
          <w:p w14:paraId="343A9F92" w14:textId="021B6297" w:rsidR="000155F3" w:rsidRDefault="000155F3">
            <w:pPr>
              <w:spacing w:after="0" w:line="240" w:lineRule="auto"/>
              <w:rPr>
                <w:b/>
                <w:bCs/>
              </w:rPr>
            </w:pPr>
            <w:r>
              <w:rPr>
                <w:b/>
                <w:bCs/>
              </w:rPr>
              <w:t xml:space="preserve">Abweichung zu Run </w:t>
            </w:r>
            <w:r w:rsidR="00D3623A">
              <w:rPr>
                <w:b/>
                <w:bCs/>
              </w:rPr>
              <w:t>8</w:t>
            </w:r>
          </w:p>
        </w:tc>
      </w:tr>
      <w:tr w:rsidR="000155F3" w14:paraId="0CC445D1" w14:textId="77777777" w:rsidTr="006618FF">
        <w:tc>
          <w:tcPr>
            <w:tcW w:w="0" w:type="auto"/>
            <w:tcBorders>
              <w:top w:val="outset" w:sz="6" w:space="0" w:color="auto"/>
              <w:left w:val="outset" w:sz="6" w:space="0" w:color="auto"/>
              <w:bottom w:val="outset" w:sz="6" w:space="0" w:color="auto"/>
              <w:right w:val="outset" w:sz="6" w:space="0" w:color="auto"/>
            </w:tcBorders>
            <w:shd w:val="clear" w:color="auto" w:fill="F2F2F2"/>
            <w:hideMark/>
          </w:tcPr>
          <w:p w14:paraId="095BEC35" w14:textId="77777777" w:rsidR="000155F3" w:rsidRDefault="000155F3">
            <w:pPr>
              <w:spacing w:after="0" w:line="240" w:lineRule="auto"/>
            </w:pPr>
            <w:r>
              <w:t>1</w:t>
            </w:r>
          </w:p>
        </w:tc>
        <w:tc>
          <w:tcPr>
            <w:tcW w:w="0" w:type="auto"/>
            <w:tcBorders>
              <w:top w:val="outset" w:sz="6" w:space="0" w:color="auto"/>
              <w:left w:val="outset" w:sz="6" w:space="0" w:color="auto"/>
              <w:bottom w:val="outset" w:sz="6" w:space="0" w:color="auto"/>
              <w:right w:val="outset" w:sz="6" w:space="0" w:color="auto"/>
            </w:tcBorders>
            <w:shd w:val="clear" w:color="auto" w:fill="F2F2F2"/>
            <w:hideMark/>
          </w:tcPr>
          <w:p w14:paraId="26815A4A" w14:textId="77777777" w:rsidR="000155F3" w:rsidRDefault="000155F3">
            <w:pPr>
              <w:spacing w:after="0" w:line="240" w:lineRule="auto"/>
            </w:pPr>
            <w:r>
              <w:t>TH-001_Output_Run01.txt</w:t>
            </w:r>
          </w:p>
        </w:tc>
        <w:tc>
          <w:tcPr>
            <w:tcW w:w="3033" w:type="pct"/>
            <w:tcBorders>
              <w:top w:val="outset" w:sz="6" w:space="0" w:color="auto"/>
              <w:left w:val="outset" w:sz="6" w:space="0" w:color="auto"/>
              <w:bottom w:val="outset" w:sz="6" w:space="0" w:color="auto"/>
              <w:right w:val="outset" w:sz="6" w:space="0" w:color="auto"/>
            </w:tcBorders>
            <w:shd w:val="clear" w:color="auto" w:fill="F2F2F2"/>
            <w:hideMark/>
          </w:tcPr>
          <w:p w14:paraId="4B7182BA" w14:textId="15B093CA" w:rsidR="000155F3" w:rsidRDefault="006618FF">
            <w:pPr>
              <w:spacing w:after="0" w:line="240" w:lineRule="auto"/>
            </w:pPr>
            <w:r w:rsidRPr="006618FF">
              <w:t>4E3688E7FF3B3B2DCECB0B872B8CF3522448739CE56230F8C626613D28EF95E9</w:t>
            </w:r>
          </w:p>
        </w:tc>
        <w:tc>
          <w:tcPr>
            <w:tcW w:w="0" w:type="auto"/>
            <w:tcBorders>
              <w:top w:val="outset" w:sz="6" w:space="0" w:color="auto"/>
              <w:left w:val="outset" w:sz="6" w:space="0" w:color="auto"/>
              <w:bottom w:val="outset" w:sz="6" w:space="0" w:color="auto"/>
              <w:right w:val="outset" w:sz="6" w:space="0" w:color="auto"/>
            </w:tcBorders>
            <w:shd w:val="clear" w:color="auto" w:fill="F2F2F2"/>
            <w:hideMark/>
          </w:tcPr>
          <w:p w14:paraId="5CB0FC19" w14:textId="26AC2A77" w:rsidR="000155F3" w:rsidRDefault="00D3623A">
            <w:pPr>
              <w:spacing w:after="0" w:line="240" w:lineRule="auto"/>
            </w:pPr>
            <w:r>
              <w:t>gering</w:t>
            </w:r>
          </w:p>
        </w:tc>
      </w:tr>
      <w:tr w:rsidR="000155F3" w14:paraId="65D70F5C" w14:textId="77777777" w:rsidTr="006618FF">
        <w:tc>
          <w:tcPr>
            <w:tcW w:w="0" w:type="auto"/>
            <w:tcBorders>
              <w:top w:val="outset" w:sz="6" w:space="0" w:color="auto"/>
              <w:left w:val="outset" w:sz="6" w:space="0" w:color="auto"/>
              <w:bottom w:val="outset" w:sz="6" w:space="0" w:color="auto"/>
              <w:right w:val="outset" w:sz="6" w:space="0" w:color="auto"/>
            </w:tcBorders>
            <w:hideMark/>
          </w:tcPr>
          <w:p w14:paraId="60B72AA1" w14:textId="77777777" w:rsidR="000155F3" w:rsidRDefault="000155F3">
            <w:pPr>
              <w:spacing w:after="0" w:line="240" w:lineRule="auto"/>
            </w:pPr>
            <w:r>
              <w:lastRenderedPageBreak/>
              <w:t>2</w:t>
            </w:r>
          </w:p>
        </w:tc>
        <w:tc>
          <w:tcPr>
            <w:tcW w:w="0" w:type="auto"/>
            <w:tcBorders>
              <w:top w:val="outset" w:sz="6" w:space="0" w:color="auto"/>
              <w:left w:val="outset" w:sz="6" w:space="0" w:color="auto"/>
              <w:bottom w:val="outset" w:sz="6" w:space="0" w:color="auto"/>
              <w:right w:val="outset" w:sz="6" w:space="0" w:color="auto"/>
            </w:tcBorders>
            <w:hideMark/>
          </w:tcPr>
          <w:p w14:paraId="6DEB5C2B" w14:textId="77777777" w:rsidR="000155F3" w:rsidRDefault="000155F3">
            <w:pPr>
              <w:spacing w:after="0" w:line="240" w:lineRule="auto"/>
            </w:pPr>
            <w:r>
              <w:t>TH-001_Output_Run02.txt</w:t>
            </w:r>
          </w:p>
        </w:tc>
        <w:tc>
          <w:tcPr>
            <w:tcW w:w="3033" w:type="pct"/>
            <w:tcBorders>
              <w:top w:val="outset" w:sz="6" w:space="0" w:color="auto"/>
              <w:left w:val="outset" w:sz="6" w:space="0" w:color="auto"/>
              <w:bottom w:val="outset" w:sz="6" w:space="0" w:color="auto"/>
              <w:right w:val="outset" w:sz="6" w:space="0" w:color="auto"/>
            </w:tcBorders>
            <w:hideMark/>
          </w:tcPr>
          <w:p w14:paraId="793BDD39" w14:textId="63EB9582" w:rsidR="000155F3" w:rsidRDefault="006618FF">
            <w:pPr>
              <w:spacing w:after="0" w:line="240" w:lineRule="auto"/>
            </w:pPr>
            <w:r w:rsidRPr="006618FF">
              <w:t>858CFE32952EDA6A14613BBE6ADB475E2A3DA7476C4A8FC7DB02F397F58E833C</w:t>
            </w:r>
          </w:p>
        </w:tc>
        <w:tc>
          <w:tcPr>
            <w:tcW w:w="0" w:type="auto"/>
            <w:tcBorders>
              <w:top w:val="outset" w:sz="6" w:space="0" w:color="auto"/>
              <w:left w:val="outset" w:sz="6" w:space="0" w:color="auto"/>
              <w:bottom w:val="outset" w:sz="6" w:space="0" w:color="auto"/>
              <w:right w:val="outset" w:sz="6" w:space="0" w:color="auto"/>
            </w:tcBorders>
            <w:hideMark/>
          </w:tcPr>
          <w:p w14:paraId="08A2BA70" w14:textId="23A6EAED" w:rsidR="000155F3" w:rsidRDefault="00D3623A">
            <w:pPr>
              <w:spacing w:after="0" w:line="240" w:lineRule="auto"/>
            </w:pPr>
            <w:r>
              <w:t>gering</w:t>
            </w:r>
          </w:p>
        </w:tc>
      </w:tr>
      <w:tr w:rsidR="000155F3" w14:paraId="64CB1863" w14:textId="77777777" w:rsidTr="006618FF">
        <w:tc>
          <w:tcPr>
            <w:tcW w:w="0" w:type="auto"/>
            <w:tcBorders>
              <w:top w:val="outset" w:sz="6" w:space="0" w:color="auto"/>
              <w:left w:val="outset" w:sz="6" w:space="0" w:color="auto"/>
              <w:bottom w:val="outset" w:sz="6" w:space="0" w:color="auto"/>
              <w:right w:val="outset" w:sz="6" w:space="0" w:color="auto"/>
            </w:tcBorders>
            <w:shd w:val="clear" w:color="auto" w:fill="F2F2F2"/>
            <w:hideMark/>
          </w:tcPr>
          <w:p w14:paraId="067530DD" w14:textId="77777777" w:rsidR="000155F3" w:rsidRDefault="000155F3">
            <w:pPr>
              <w:spacing w:after="0" w:line="240" w:lineRule="auto"/>
            </w:pPr>
            <w:r>
              <w:t>3</w:t>
            </w:r>
          </w:p>
        </w:tc>
        <w:tc>
          <w:tcPr>
            <w:tcW w:w="0" w:type="auto"/>
            <w:tcBorders>
              <w:top w:val="outset" w:sz="6" w:space="0" w:color="auto"/>
              <w:left w:val="outset" w:sz="6" w:space="0" w:color="auto"/>
              <w:bottom w:val="outset" w:sz="6" w:space="0" w:color="auto"/>
              <w:right w:val="outset" w:sz="6" w:space="0" w:color="auto"/>
            </w:tcBorders>
            <w:shd w:val="clear" w:color="auto" w:fill="F2F2F2"/>
            <w:hideMark/>
          </w:tcPr>
          <w:p w14:paraId="58E04C1A" w14:textId="77777777" w:rsidR="000155F3" w:rsidRDefault="000155F3">
            <w:pPr>
              <w:spacing w:after="0" w:line="240" w:lineRule="auto"/>
            </w:pPr>
            <w:r>
              <w:t>TH-001_Output_Run03.txt</w:t>
            </w:r>
          </w:p>
        </w:tc>
        <w:tc>
          <w:tcPr>
            <w:tcW w:w="3033" w:type="pct"/>
            <w:tcBorders>
              <w:top w:val="outset" w:sz="6" w:space="0" w:color="auto"/>
              <w:left w:val="outset" w:sz="6" w:space="0" w:color="auto"/>
              <w:bottom w:val="outset" w:sz="6" w:space="0" w:color="auto"/>
              <w:right w:val="outset" w:sz="6" w:space="0" w:color="auto"/>
            </w:tcBorders>
            <w:shd w:val="clear" w:color="auto" w:fill="F2F2F2"/>
            <w:hideMark/>
          </w:tcPr>
          <w:p w14:paraId="2FD455AB" w14:textId="7B47CCD3" w:rsidR="000155F3" w:rsidRDefault="00D311DD">
            <w:pPr>
              <w:spacing w:after="0" w:line="240" w:lineRule="auto"/>
            </w:pPr>
            <w:r w:rsidRPr="00D311DD">
              <w:t>622F93523A81314807331827AC60656552AD18AE8AC666BC8912DCB41C5C10B1</w:t>
            </w:r>
          </w:p>
        </w:tc>
        <w:tc>
          <w:tcPr>
            <w:tcW w:w="0" w:type="auto"/>
            <w:tcBorders>
              <w:top w:val="outset" w:sz="6" w:space="0" w:color="auto"/>
              <w:left w:val="outset" w:sz="6" w:space="0" w:color="auto"/>
              <w:bottom w:val="outset" w:sz="6" w:space="0" w:color="auto"/>
              <w:right w:val="outset" w:sz="6" w:space="0" w:color="auto"/>
            </w:tcBorders>
            <w:shd w:val="clear" w:color="auto" w:fill="F2F2F2"/>
            <w:hideMark/>
          </w:tcPr>
          <w:p w14:paraId="7FE73AE3" w14:textId="073296DF" w:rsidR="000155F3" w:rsidRDefault="00D3623A">
            <w:pPr>
              <w:spacing w:after="0" w:line="240" w:lineRule="auto"/>
            </w:pPr>
            <w:r>
              <w:t>gering</w:t>
            </w:r>
          </w:p>
        </w:tc>
      </w:tr>
      <w:tr w:rsidR="000155F3" w14:paraId="33B136E7" w14:textId="77777777" w:rsidTr="006618FF">
        <w:tc>
          <w:tcPr>
            <w:tcW w:w="0" w:type="auto"/>
            <w:tcBorders>
              <w:top w:val="outset" w:sz="6" w:space="0" w:color="auto"/>
              <w:left w:val="outset" w:sz="6" w:space="0" w:color="auto"/>
              <w:bottom w:val="outset" w:sz="6" w:space="0" w:color="auto"/>
              <w:right w:val="outset" w:sz="6" w:space="0" w:color="auto"/>
            </w:tcBorders>
            <w:hideMark/>
          </w:tcPr>
          <w:p w14:paraId="5E738CF7" w14:textId="77777777" w:rsidR="000155F3" w:rsidRDefault="000155F3">
            <w:pPr>
              <w:spacing w:after="0" w:line="240" w:lineRule="auto"/>
            </w:pPr>
            <w:r>
              <w:t>4</w:t>
            </w:r>
          </w:p>
        </w:tc>
        <w:tc>
          <w:tcPr>
            <w:tcW w:w="0" w:type="auto"/>
            <w:tcBorders>
              <w:top w:val="outset" w:sz="6" w:space="0" w:color="auto"/>
              <w:left w:val="outset" w:sz="6" w:space="0" w:color="auto"/>
              <w:bottom w:val="outset" w:sz="6" w:space="0" w:color="auto"/>
              <w:right w:val="outset" w:sz="6" w:space="0" w:color="auto"/>
            </w:tcBorders>
            <w:hideMark/>
          </w:tcPr>
          <w:p w14:paraId="11F3DB5E" w14:textId="77777777" w:rsidR="000155F3" w:rsidRDefault="000155F3">
            <w:pPr>
              <w:spacing w:after="0" w:line="240" w:lineRule="auto"/>
            </w:pPr>
            <w:r>
              <w:t>TH-001_Output_Run04.txt</w:t>
            </w:r>
          </w:p>
        </w:tc>
        <w:tc>
          <w:tcPr>
            <w:tcW w:w="3033" w:type="pct"/>
            <w:tcBorders>
              <w:top w:val="outset" w:sz="6" w:space="0" w:color="auto"/>
              <w:left w:val="outset" w:sz="6" w:space="0" w:color="auto"/>
              <w:bottom w:val="outset" w:sz="6" w:space="0" w:color="auto"/>
              <w:right w:val="outset" w:sz="6" w:space="0" w:color="auto"/>
            </w:tcBorders>
            <w:hideMark/>
          </w:tcPr>
          <w:p w14:paraId="53334D62" w14:textId="4C9DD35B" w:rsidR="000155F3" w:rsidRDefault="00D311DD">
            <w:pPr>
              <w:spacing w:after="0" w:line="240" w:lineRule="auto"/>
            </w:pPr>
            <w:r w:rsidRPr="00D311DD">
              <w:t>08AF434740BF663FFD5A54F2E23927AA14C8646A22F655E6B31CB014C96F7D60</w:t>
            </w:r>
          </w:p>
        </w:tc>
        <w:tc>
          <w:tcPr>
            <w:tcW w:w="0" w:type="auto"/>
            <w:tcBorders>
              <w:top w:val="outset" w:sz="6" w:space="0" w:color="auto"/>
              <w:left w:val="outset" w:sz="6" w:space="0" w:color="auto"/>
              <w:bottom w:val="outset" w:sz="6" w:space="0" w:color="auto"/>
              <w:right w:val="outset" w:sz="6" w:space="0" w:color="auto"/>
            </w:tcBorders>
            <w:hideMark/>
          </w:tcPr>
          <w:p w14:paraId="722C9731" w14:textId="6015A2AD" w:rsidR="000155F3" w:rsidRDefault="00D3623A">
            <w:pPr>
              <w:spacing w:after="0" w:line="240" w:lineRule="auto"/>
            </w:pPr>
            <w:r>
              <w:t>gering</w:t>
            </w:r>
          </w:p>
        </w:tc>
      </w:tr>
      <w:tr w:rsidR="000155F3" w14:paraId="00F15770" w14:textId="77777777" w:rsidTr="006618FF">
        <w:tc>
          <w:tcPr>
            <w:tcW w:w="0" w:type="auto"/>
            <w:tcBorders>
              <w:top w:val="outset" w:sz="6" w:space="0" w:color="auto"/>
              <w:left w:val="outset" w:sz="6" w:space="0" w:color="auto"/>
              <w:bottom w:val="outset" w:sz="6" w:space="0" w:color="auto"/>
              <w:right w:val="outset" w:sz="6" w:space="0" w:color="auto"/>
            </w:tcBorders>
            <w:shd w:val="clear" w:color="auto" w:fill="F2F2F2"/>
            <w:hideMark/>
          </w:tcPr>
          <w:p w14:paraId="3093F863" w14:textId="77777777" w:rsidR="000155F3" w:rsidRDefault="000155F3">
            <w:pPr>
              <w:spacing w:after="0" w:line="240" w:lineRule="auto"/>
            </w:pPr>
            <w:r>
              <w:t>5</w:t>
            </w:r>
          </w:p>
        </w:tc>
        <w:tc>
          <w:tcPr>
            <w:tcW w:w="0" w:type="auto"/>
            <w:tcBorders>
              <w:top w:val="outset" w:sz="6" w:space="0" w:color="auto"/>
              <w:left w:val="outset" w:sz="6" w:space="0" w:color="auto"/>
              <w:bottom w:val="outset" w:sz="6" w:space="0" w:color="auto"/>
              <w:right w:val="outset" w:sz="6" w:space="0" w:color="auto"/>
            </w:tcBorders>
            <w:shd w:val="clear" w:color="auto" w:fill="F2F2F2"/>
            <w:hideMark/>
          </w:tcPr>
          <w:p w14:paraId="37ACB7D8" w14:textId="77777777" w:rsidR="000155F3" w:rsidRDefault="000155F3">
            <w:pPr>
              <w:spacing w:after="0" w:line="240" w:lineRule="auto"/>
            </w:pPr>
            <w:r>
              <w:t>TH-001_Output_Run05.txt</w:t>
            </w:r>
          </w:p>
        </w:tc>
        <w:tc>
          <w:tcPr>
            <w:tcW w:w="3033" w:type="pct"/>
            <w:tcBorders>
              <w:top w:val="outset" w:sz="6" w:space="0" w:color="auto"/>
              <w:left w:val="outset" w:sz="6" w:space="0" w:color="auto"/>
              <w:bottom w:val="outset" w:sz="6" w:space="0" w:color="auto"/>
              <w:right w:val="outset" w:sz="6" w:space="0" w:color="auto"/>
            </w:tcBorders>
            <w:shd w:val="clear" w:color="auto" w:fill="F2F2F2"/>
            <w:hideMark/>
          </w:tcPr>
          <w:p w14:paraId="7815B70D" w14:textId="142E21D2" w:rsidR="000155F3" w:rsidRDefault="00D311DD">
            <w:pPr>
              <w:spacing w:after="0" w:line="240" w:lineRule="auto"/>
            </w:pPr>
            <w:r w:rsidRPr="00D311DD">
              <w:t>20188D69A796A3A414DE168340CEEB7E423B6FF047EF15DCF1303C4D6294770D</w:t>
            </w:r>
          </w:p>
        </w:tc>
        <w:tc>
          <w:tcPr>
            <w:tcW w:w="0" w:type="auto"/>
            <w:tcBorders>
              <w:top w:val="outset" w:sz="6" w:space="0" w:color="auto"/>
              <w:left w:val="outset" w:sz="6" w:space="0" w:color="auto"/>
              <w:bottom w:val="outset" w:sz="6" w:space="0" w:color="auto"/>
              <w:right w:val="outset" w:sz="6" w:space="0" w:color="auto"/>
            </w:tcBorders>
            <w:shd w:val="clear" w:color="auto" w:fill="F2F2F2"/>
            <w:hideMark/>
          </w:tcPr>
          <w:p w14:paraId="741C68E7" w14:textId="1B252F81" w:rsidR="000155F3" w:rsidRDefault="00D3623A">
            <w:pPr>
              <w:spacing w:after="0" w:line="240" w:lineRule="auto"/>
            </w:pPr>
            <w:r>
              <w:t>gering-mittel</w:t>
            </w:r>
          </w:p>
        </w:tc>
      </w:tr>
      <w:tr w:rsidR="000155F3" w14:paraId="4C532AC2" w14:textId="77777777" w:rsidTr="006618FF">
        <w:tc>
          <w:tcPr>
            <w:tcW w:w="0" w:type="auto"/>
            <w:tcBorders>
              <w:top w:val="outset" w:sz="6" w:space="0" w:color="auto"/>
              <w:left w:val="outset" w:sz="6" w:space="0" w:color="auto"/>
              <w:bottom w:val="outset" w:sz="6" w:space="0" w:color="auto"/>
              <w:right w:val="outset" w:sz="6" w:space="0" w:color="auto"/>
            </w:tcBorders>
            <w:hideMark/>
          </w:tcPr>
          <w:p w14:paraId="45B41E5B" w14:textId="77777777" w:rsidR="000155F3" w:rsidRDefault="000155F3">
            <w:pPr>
              <w:spacing w:after="0" w:line="240" w:lineRule="auto"/>
            </w:pPr>
            <w:r>
              <w:t>6</w:t>
            </w:r>
          </w:p>
        </w:tc>
        <w:tc>
          <w:tcPr>
            <w:tcW w:w="0" w:type="auto"/>
            <w:tcBorders>
              <w:top w:val="outset" w:sz="6" w:space="0" w:color="auto"/>
              <w:left w:val="outset" w:sz="6" w:space="0" w:color="auto"/>
              <w:bottom w:val="outset" w:sz="6" w:space="0" w:color="auto"/>
              <w:right w:val="outset" w:sz="6" w:space="0" w:color="auto"/>
            </w:tcBorders>
            <w:hideMark/>
          </w:tcPr>
          <w:p w14:paraId="29FD6B84" w14:textId="77777777" w:rsidR="000155F3" w:rsidRDefault="000155F3">
            <w:pPr>
              <w:spacing w:after="0" w:line="240" w:lineRule="auto"/>
            </w:pPr>
            <w:r>
              <w:t>TH-001_Output_Run06.txt</w:t>
            </w:r>
          </w:p>
        </w:tc>
        <w:tc>
          <w:tcPr>
            <w:tcW w:w="3033" w:type="pct"/>
            <w:tcBorders>
              <w:top w:val="outset" w:sz="6" w:space="0" w:color="auto"/>
              <w:left w:val="outset" w:sz="6" w:space="0" w:color="auto"/>
              <w:bottom w:val="outset" w:sz="6" w:space="0" w:color="auto"/>
              <w:right w:val="outset" w:sz="6" w:space="0" w:color="auto"/>
            </w:tcBorders>
            <w:hideMark/>
          </w:tcPr>
          <w:p w14:paraId="7A127FD1" w14:textId="2D008759" w:rsidR="000155F3" w:rsidRDefault="00D311DD">
            <w:pPr>
              <w:spacing w:after="0" w:line="240" w:lineRule="auto"/>
            </w:pPr>
            <w:r w:rsidRPr="00D311DD">
              <w:t>091095BB7F08D397995920E8497D81E9714D215BC0AB0F8D9865B2AA63AE1742</w:t>
            </w:r>
          </w:p>
        </w:tc>
        <w:tc>
          <w:tcPr>
            <w:tcW w:w="0" w:type="auto"/>
            <w:tcBorders>
              <w:top w:val="outset" w:sz="6" w:space="0" w:color="auto"/>
              <w:left w:val="outset" w:sz="6" w:space="0" w:color="auto"/>
              <w:bottom w:val="outset" w:sz="6" w:space="0" w:color="auto"/>
              <w:right w:val="outset" w:sz="6" w:space="0" w:color="auto"/>
            </w:tcBorders>
            <w:hideMark/>
          </w:tcPr>
          <w:p w14:paraId="32BE5F1A" w14:textId="0FBFBD04" w:rsidR="000155F3" w:rsidRDefault="00D3623A">
            <w:pPr>
              <w:spacing w:after="0" w:line="240" w:lineRule="auto"/>
            </w:pPr>
            <w:r>
              <w:t>gering</w:t>
            </w:r>
          </w:p>
        </w:tc>
      </w:tr>
      <w:tr w:rsidR="000155F3" w14:paraId="744DDDF6" w14:textId="77777777" w:rsidTr="006618FF">
        <w:tc>
          <w:tcPr>
            <w:tcW w:w="0" w:type="auto"/>
            <w:tcBorders>
              <w:top w:val="outset" w:sz="6" w:space="0" w:color="auto"/>
              <w:left w:val="outset" w:sz="6" w:space="0" w:color="auto"/>
              <w:bottom w:val="outset" w:sz="6" w:space="0" w:color="auto"/>
              <w:right w:val="outset" w:sz="6" w:space="0" w:color="auto"/>
            </w:tcBorders>
            <w:shd w:val="clear" w:color="auto" w:fill="F2F2F2"/>
            <w:hideMark/>
          </w:tcPr>
          <w:p w14:paraId="2D9C24CD" w14:textId="77777777" w:rsidR="000155F3" w:rsidRDefault="000155F3">
            <w:pPr>
              <w:spacing w:after="0" w:line="240" w:lineRule="auto"/>
            </w:pPr>
            <w:r>
              <w:t>7</w:t>
            </w:r>
          </w:p>
        </w:tc>
        <w:tc>
          <w:tcPr>
            <w:tcW w:w="0" w:type="auto"/>
            <w:tcBorders>
              <w:top w:val="outset" w:sz="6" w:space="0" w:color="auto"/>
              <w:left w:val="outset" w:sz="6" w:space="0" w:color="auto"/>
              <w:bottom w:val="outset" w:sz="6" w:space="0" w:color="auto"/>
              <w:right w:val="outset" w:sz="6" w:space="0" w:color="auto"/>
            </w:tcBorders>
            <w:shd w:val="clear" w:color="auto" w:fill="F2F2F2"/>
            <w:hideMark/>
          </w:tcPr>
          <w:p w14:paraId="5A3C9B85" w14:textId="77777777" w:rsidR="000155F3" w:rsidRDefault="000155F3">
            <w:pPr>
              <w:spacing w:after="0" w:line="240" w:lineRule="auto"/>
            </w:pPr>
            <w:r>
              <w:t>TH-001_Output_Run07.txt</w:t>
            </w:r>
          </w:p>
        </w:tc>
        <w:tc>
          <w:tcPr>
            <w:tcW w:w="3033" w:type="pct"/>
            <w:tcBorders>
              <w:top w:val="outset" w:sz="6" w:space="0" w:color="auto"/>
              <w:left w:val="outset" w:sz="6" w:space="0" w:color="auto"/>
              <w:bottom w:val="outset" w:sz="6" w:space="0" w:color="auto"/>
              <w:right w:val="outset" w:sz="6" w:space="0" w:color="auto"/>
            </w:tcBorders>
            <w:shd w:val="clear" w:color="auto" w:fill="F2F2F2"/>
            <w:hideMark/>
          </w:tcPr>
          <w:p w14:paraId="62272F5B" w14:textId="46B82F4C" w:rsidR="000155F3" w:rsidRDefault="00D311DD">
            <w:pPr>
              <w:spacing w:after="0" w:line="240" w:lineRule="auto"/>
            </w:pPr>
            <w:r w:rsidRPr="00D311DD">
              <w:t>A8BE36CDB77FC5A43BE1AE40B104B39FDA65E48404E3DC621B926AA2C66B3DF9</w:t>
            </w:r>
          </w:p>
        </w:tc>
        <w:tc>
          <w:tcPr>
            <w:tcW w:w="0" w:type="auto"/>
            <w:tcBorders>
              <w:top w:val="outset" w:sz="6" w:space="0" w:color="auto"/>
              <w:left w:val="outset" w:sz="6" w:space="0" w:color="auto"/>
              <w:bottom w:val="outset" w:sz="6" w:space="0" w:color="auto"/>
              <w:right w:val="outset" w:sz="6" w:space="0" w:color="auto"/>
            </w:tcBorders>
            <w:shd w:val="clear" w:color="auto" w:fill="F2F2F2"/>
            <w:hideMark/>
          </w:tcPr>
          <w:p w14:paraId="1450A16F" w14:textId="3C52F774" w:rsidR="000155F3" w:rsidRDefault="00D3623A">
            <w:pPr>
              <w:spacing w:after="0" w:line="240" w:lineRule="auto"/>
            </w:pPr>
            <w:r>
              <w:t>gering</w:t>
            </w:r>
          </w:p>
        </w:tc>
      </w:tr>
      <w:tr w:rsidR="000155F3" w14:paraId="2B5DEA0E" w14:textId="77777777" w:rsidTr="006618FF">
        <w:tc>
          <w:tcPr>
            <w:tcW w:w="0" w:type="auto"/>
            <w:tcBorders>
              <w:top w:val="outset" w:sz="6" w:space="0" w:color="auto"/>
              <w:left w:val="outset" w:sz="6" w:space="0" w:color="auto"/>
              <w:bottom w:val="outset" w:sz="6" w:space="0" w:color="auto"/>
              <w:right w:val="outset" w:sz="6" w:space="0" w:color="auto"/>
            </w:tcBorders>
            <w:hideMark/>
          </w:tcPr>
          <w:p w14:paraId="6A4920DF" w14:textId="77777777" w:rsidR="000155F3" w:rsidRDefault="000155F3">
            <w:pPr>
              <w:spacing w:after="0" w:line="240" w:lineRule="auto"/>
            </w:pPr>
            <w:r>
              <w:t>8</w:t>
            </w:r>
          </w:p>
        </w:tc>
        <w:tc>
          <w:tcPr>
            <w:tcW w:w="0" w:type="auto"/>
            <w:tcBorders>
              <w:top w:val="outset" w:sz="6" w:space="0" w:color="auto"/>
              <w:left w:val="outset" w:sz="6" w:space="0" w:color="auto"/>
              <w:bottom w:val="outset" w:sz="6" w:space="0" w:color="auto"/>
              <w:right w:val="outset" w:sz="6" w:space="0" w:color="auto"/>
            </w:tcBorders>
            <w:hideMark/>
          </w:tcPr>
          <w:p w14:paraId="127F0A9E" w14:textId="77777777" w:rsidR="000155F3" w:rsidRDefault="000155F3">
            <w:pPr>
              <w:spacing w:after="0" w:line="240" w:lineRule="auto"/>
            </w:pPr>
            <w:r>
              <w:t>TH-001_Output_Run08.txt</w:t>
            </w:r>
          </w:p>
        </w:tc>
        <w:tc>
          <w:tcPr>
            <w:tcW w:w="3033" w:type="pct"/>
            <w:tcBorders>
              <w:top w:val="outset" w:sz="6" w:space="0" w:color="auto"/>
              <w:left w:val="outset" w:sz="6" w:space="0" w:color="auto"/>
              <w:bottom w:val="outset" w:sz="6" w:space="0" w:color="auto"/>
              <w:right w:val="outset" w:sz="6" w:space="0" w:color="auto"/>
            </w:tcBorders>
            <w:hideMark/>
          </w:tcPr>
          <w:p w14:paraId="2EC70FB0" w14:textId="54577A94" w:rsidR="000155F3" w:rsidRDefault="00D311DD">
            <w:pPr>
              <w:spacing w:after="0" w:line="240" w:lineRule="auto"/>
            </w:pPr>
            <w:r w:rsidRPr="00D311DD">
              <w:t>5592EAF3725AC829E1E458DCF29E0AC3A0A455BEB2B20A66CE61F9CCF1CC9578</w:t>
            </w:r>
          </w:p>
        </w:tc>
        <w:tc>
          <w:tcPr>
            <w:tcW w:w="0" w:type="auto"/>
            <w:tcBorders>
              <w:top w:val="outset" w:sz="6" w:space="0" w:color="auto"/>
              <w:left w:val="outset" w:sz="6" w:space="0" w:color="auto"/>
              <w:bottom w:val="outset" w:sz="6" w:space="0" w:color="auto"/>
              <w:right w:val="outset" w:sz="6" w:space="0" w:color="auto"/>
            </w:tcBorders>
            <w:hideMark/>
          </w:tcPr>
          <w:p w14:paraId="25B1A6EF" w14:textId="5AAE6143" w:rsidR="000155F3" w:rsidRDefault="00D3623A">
            <w:pPr>
              <w:spacing w:after="0" w:line="240" w:lineRule="auto"/>
            </w:pPr>
            <w:r>
              <w:t>Referenz</w:t>
            </w:r>
          </w:p>
        </w:tc>
      </w:tr>
      <w:tr w:rsidR="000155F3" w14:paraId="0D9F0BA3" w14:textId="77777777" w:rsidTr="006618FF">
        <w:tc>
          <w:tcPr>
            <w:tcW w:w="0" w:type="auto"/>
            <w:tcBorders>
              <w:top w:val="outset" w:sz="6" w:space="0" w:color="auto"/>
              <w:left w:val="outset" w:sz="6" w:space="0" w:color="auto"/>
              <w:bottom w:val="outset" w:sz="6" w:space="0" w:color="auto"/>
              <w:right w:val="outset" w:sz="6" w:space="0" w:color="auto"/>
            </w:tcBorders>
            <w:shd w:val="clear" w:color="auto" w:fill="F2F2F2"/>
            <w:hideMark/>
          </w:tcPr>
          <w:p w14:paraId="4CE8DCA6" w14:textId="77777777" w:rsidR="000155F3" w:rsidRDefault="000155F3">
            <w:pPr>
              <w:spacing w:after="0" w:line="240" w:lineRule="auto"/>
            </w:pPr>
            <w:r>
              <w:t>9</w:t>
            </w:r>
          </w:p>
        </w:tc>
        <w:tc>
          <w:tcPr>
            <w:tcW w:w="0" w:type="auto"/>
            <w:tcBorders>
              <w:top w:val="outset" w:sz="6" w:space="0" w:color="auto"/>
              <w:left w:val="outset" w:sz="6" w:space="0" w:color="auto"/>
              <w:bottom w:val="outset" w:sz="6" w:space="0" w:color="auto"/>
              <w:right w:val="outset" w:sz="6" w:space="0" w:color="auto"/>
            </w:tcBorders>
            <w:shd w:val="clear" w:color="auto" w:fill="F2F2F2"/>
            <w:hideMark/>
          </w:tcPr>
          <w:p w14:paraId="1C65A3AC" w14:textId="77777777" w:rsidR="000155F3" w:rsidRDefault="000155F3">
            <w:pPr>
              <w:spacing w:after="0" w:line="240" w:lineRule="auto"/>
            </w:pPr>
            <w:r>
              <w:t>TH-001_Output_Run09.txt</w:t>
            </w:r>
          </w:p>
        </w:tc>
        <w:tc>
          <w:tcPr>
            <w:tcW w:w="3033" w:type="pct"/>
            <w:tcBorders>
              <w:top w:val="outset" w:sz="6" w:space="0" w:color="auto"/>
              <w:left w:val="outset" w:sz="6" w:space="0" w:color="auto"/>
              <w:bottom w:val="outset" w:sz="6" w:space="0" w:color="auto"/>
              <w:right w:val="outset" w:sz="6" w:space="0" w:color="auto"/>
            </w:tcBorders>
            <w:shd w:val="clear" w:color="auto" w:fill="F2F2F2"/>
            <w:hideMark/>
          </w:tcPr>
          <w:p w14:paraId="0244CF63" w14:textId="42C45814" w:rsidR="000155F3" w:rsidRDefault="00D311DD">
            <w:pPr>
              <w:spacing w:after="0" w:line="240" w:lineRule="auto"/>
            </w:pPr>
            <w:r w:rsidRPr="00D311DD">
              <w:t>C1177A85C15FE5F6795A3469BCC5D2F13958BCC8FBFC619504D8D959A018EC15</w:t>
            </w:r>
          </w:p>
        </w:tc>
        <w:tc>
          <w:tcPr>
            <w:tcW w:w="0" w:type="auto"/>
            <w:tcBorders>
              <w:top w:val="outset" w:sz="6" w:space="0" w:color="auto"/>
              <w:left w:val="outset" w:sz="6" w:space="0" w:color="auto"/>
              <w:bottom w:val="outset" w:sz="6" w:space="0" w:color="auto"/>
              <w:right w:val="outset" w:sz="6" w:space="0" w:color="auto"/>
            </w:tcBorders>
            <w:shd w:val="clear" w:color="auto" w:fill="F2F2F2"/>
            <w:hideMark/>
          </w:tcPr>
          <w:p w14:paraId="24D4AA89" w14:textId="6760748B" w:rsidR="000155F3" w:rsidRDefault="00D3623A">
            <w:pPr>
              <w:spacing w:after="0" w:line="240" w:lineRule="auto"/>
            </w:pPr>
            <w:r>
              <w:t>gering</w:t>
            </w:r>
          </w:p>
        </w:tc>
      </w:tr>
      <w:tr w:rsidR="000155F3" w14:paraId="1AED20A6" w14:textId="77777777" w:rsidTr="006618FF">
        <w:tc>
          <w:tcPr>
            <w:tcW w:w="0" w:type="auto"/>
            <w:tcBorders>
              <w:top w:val="outset" w:sz="6" w:space="0" w:color="auto"/>
              <w:left w:val="outset" w:sz="6" w:space="0" w:color="auto"/>
              <w:bottom w:val="outset" w:sz="6" w:space="0" w:color="auto"/>
              <w:right w:val="outset" w:sz="6" w:space="0" w:color="auto"/>
            </w:tcBorders>
            <w:hideMark/>
          </w:tcPr>
          <w:p w14:paraId="298E29BC" w14:textId="77777777" w:rsidR="000155F3" w:rsidRDefault="000155F3">
            <w:pPr>
              <w:spacing w:after="0" w:line="240" w:lineRule="auto"/>
            </w:pPr>
            <w:r>
              <w:t>10</w:t>
            </w:r>
          </w:p>
        </w:tc>
        <w:tc>
          <w:tcPr>
            <w:tcW w:w="0" w:type="auto"/>
            <w:tcBorders>
              <w:top w:val="outset" w:sz="6" w:space="0" w:color="auto"/>
              <w:left w:val="outset" w:sz="6" w:space="0" w:color="auto"/>
              <w:bottom w:val="outset" w:sz="6" w:space="0" w:color="auto"/>
              <w:right w:val="outset" w:sz="6" w:space="0" w:color="auto"/>
            </w:tcBorders>
            <w:hideMark/>
          </w:tcPr>
          <w:p w14:paraId="4DE3C9A4" w14:textId="77777777" w:rsidR="000155F3" w:rsidRDefault="000155F3">
            <w:pPr>
              <w:spacing w:after="0" w:line="240" w:lineRule="auto"/>
            </w:pPr>
            <w:r>
              <w:t>TH-001_Output_Run10.txt</w:t>
            </w:r>
          </w:p>
        </w:tc>
        <w:tc>
          <w:tcPr>
            <w:tcW w:w="3033" w:type="pct"/>
            <w:tcBorders>
              <w:top w:val="outset" w:sz="6" w:space="0" w:color="auto"/>
              <w:left w:val="outset" w:sz="6" w:space="0" w:color="auto"/>
              <w:bottom w:val="outset" w:sz="6" w:space="0" w:color="auto"/>
              <w:right w:val="outset" w:sz="6" w:space="0" w:color="auto"/>
            </w:tcBorders>
            <w:hideMark/>
          </w:tcPr>
          <w:p w14:paraId="36BB8932" w14:textId="7EDFEB5F" w:rsidR="000155F3" w:rsidRDefault="00D311DD">
            <w:pPr>
              <w:spacing w:after="0" w:line="240" w:lineRule="auto"/>
            </w:pPr>
            <w:r w:rsidRPr="00D311DD">
              <w:t>1FB8AF56B7F7429694241C164165226FCB5A61FAFA1EC1EBD7D896F0C3DF5883</w:t>
            </w:r>
          </w:p>
        </w:tc>
        <w:tc>
          <w:tcPr>
            <w:tcW w:w="0" w:type="auto"/>
            <w:tcBorders>
              <w:top w:val="outset" w:sz="6" w:space="0" w:color="auto"/>
              <w:left w:val="outset" w:sz="6" w:space="0" w:color="auto"/>
              <w:bottom w:val="outset" w:sz="6" w:space="0" w:color="auto"/>
              <w:right w:val="outset" w:sz="6" w:space="0" w:color="auto"/>
            </w:tcBorders>
            <w:hideMark/>
          </w:tcPr>
          <w:p w14:paraId="538B1D3A" w14:textId="43E0BB7F" w:rsidR="000155F3" w:rsidRDefault="00D3623A">
            <w:pPr>
              <w:spacing w:after="0" w:line="240" w:lineRule="auto"/>
            </w:pPr>
            <w:r>
              <w:t>gering</w:t>
            </w:r>
          </w:p>
        </w:tc>
      </w:tr>
    </w:tbl>
    <w:p w14:paraId="160A4D55" w14:textId="77777777" w:rsidR="000155F3" w:rsidRDefault="000155F3">
      <w:pPr>
        <w:spacing w:after="0"/>
        <w:rPr>
          <w:rFonts w:ascii="Times New Roman" w:eastAsia="Times New Roman" w:hAnsi="Times New Roman" w:cs="Times New Roman"/>
          <w:sz w:val="24"/>
          <w:szCs w:val="24"/>
        </w:rPr>
      </w:pPr>
    </w:p>
    <w:p w14:paraId="2445853B" w14:textId="77777777" w:rsidR="000155F3" w:rsidRDefault="000155F3">
      <w:pPr>
        <w:rPr>
          <w:rFonts w:ascii="Calibri" w:eastAsiaTheme="minorEastAsia" w:hAnsi="Calibri" w:cs="Calibri"/>
        </w:rPr>
      </w:pPr>
      <w:r>
        <w:rPr>
          <w:b/>
          <w:bCs/>
        </w:rPr>
        <w:t>Festlegung Referenzlauf:</w:t>
      </w:r>
    </w:p>
    <w:p w14:paraId="1A14E9A0" w14:textId="37305688" w:rsidR="000155F3" w:rsidRDefault="000155F3">
      <w:r>
        <w:t>- Festgelegter Referenz-Output: TH-001_Output_Ref_v1.2.txt</w:t>
      </w:r>
      <w:r w:rsidR="00D3623A">
        <w:br/>
      </w:r>
      <w:r w:rsidR="006618FF">
        <w:br/>
      </w:r>
      <w:r w:rsidR="00D3623A" w:rsidRPr="00D3623A">
        <w:t xml:space="preserve">Der Referenzlauf Run 8 wurde in der Datei TH-001_Output_Ref_v1.2.txt konsolidiert und separat </w:t>
      </w:r>
      <w:proofErr w:type="spellStart"/>
      <w:r w:rsidR="00D3623A" w:rsidRPr="00D3623A">
        <w:t>gehasht</w:t>
      </w:r>
      <w:proofErr w:type="spellEnd"/>
      <w:r w:rsidR="00D3623A" w:rsidRPr="00D3623A">
        <w:t>. Diese Referenzausgabe dient als fachliche „Soll-Antwort“ für weitere Re-Tests und für die Verwendung des Moduls im BDA-Kontext (Genesis-Ebene 1–2).</w:t>
      </w:r>
    </w:p>
    <w:p w14:paraId="2F5353A7" w14:textId="05B87BEE" w:rsidR="000155F3" w:rsidRPr="00F56964" w:rsidRDefault="000155F3">
      <w:r w:rsidRPr="00F56964">
        <w:t xml:space="preserve">- Quelle: </w:t>
      </w:r>
      <w:r w:rsidR="0069769F" w:rsidRPr="00F56964">
        <w:t>TH-001_Output_Run08.txt</w:t>
      </w:r>
    </w:p>
    <w:p w14:paraId="5A4AC577" w14:textId="62094DF3" w:rsidR="00FE58D0" w:rsidRPr="00FE58D0" w:rsidRDefault="000155F3" w:rsidP="00FE58D0">
      <w:pPr>
        <w:rPr>
          <w:b/>
          <w:bCs/>
        </w:rPr>
      </w:pPr>
      <w:r w:rsidRPr="00F56964">
        <w:t xml:space="preserve">- SHA-256 Referenz-Output: </w:t>
      </w:r>
      <w:r w:rsidR="00F56964" w:rsidRPr="00F56964">
        <w:t>7EB4630DB0A4FC23671C4037B3E1119DAB81632A7AE505DF5E5A4ED4D221D44D</w:t>
      </w:r>
      <w:r w:rsidR="00FE58D0">
        <w:br/>
      </w:r>
      <w:r w:rsidR="00FE58D0">
        <w:br/>
      </w:r>
      <w:r w:rsidR="00FE58D0" w:rsidRPr="00FE58D0">
        <w:rPr>
          <w:b/>
          <w:bCs/>
        </w:rPr>
        <w:t>Bewertung Testreihe A (Determinismus / Reproduzierbarkeit)</w:t>
      </w:r>
    </w:p>
    <w:p w14:paraId="188B0ABD" w14:textId="77777777" w:rsidR="00FE58D0" w:rsidRDefault="00FE58D0" w:rsidP="00FE58D0">
      <w:r>
        <w:t>Die Läufe TH-001_Output_Run01 bis TH-001_Output_Run10 zeigen inhaltlich eine hohe Konsistenz:</w:t>
      </w:r>
    </w:p>
    <w:p w14:paraId="706A4F65" w14:textId="77777777" w:rsidR="00FE58D0" w:rsidRDefault="00FE58D0" w:rsidP="00FE58D0">
      <w:r>
        <w:t xml:space="preserve">• Alle Läufe beschreiben dasselbe Schadensbild (Schlafzimmer, Nord-Außenwand, Heizkörpernische, Schimmel im Bereich unter der Fensterbank, muffiger Geruch) in vergleichbarer Detailtiefe. </w:t>
      </w:r>
    </w:p>
    <w:p w14:paraId="3974D33C" w14:textId="77777777" w:rsidR="00FE58D0" w:rsidRDefault="00FE58D0" w:rsidP="00FE58D0">
      <w:r>
        <w:lastRenderedPageBreak/>
        <w:t>• Die bauphysikalische Einordnung (Temperaturdifferenz zwischen Außenwand/Laibung und Innenwand-Referenz, Taupunkt ca. 11–11,5 °C, daraus abgeleitete erhöhte Oberflächen-</w:t>
      </w:r>
      <w:proofErr w:type="spellStart"/>
      <w:r>
        <w:t>rF</w:t>
      </w:r>
      <w:proofErr w:type="spellEnd"/>
      <w:r>
        <w:t xml:space="preserve"> im Bereich 77–84 %) ist in allen Läufen konsistent wiedergegeben.</w:t>
      </w:r>
    </w:p>
    <w:p w14:paraId="51D8787E" w14:textId="77777777" w:rsidR="00FE58D0" w:rsidRDefault="00FE58D0" w:rsidP="00FE58D0">
      <w:r>
        <w:t>• Die Trennung der vermuteten Ursachen in nutzungsbedingte Faktoren (Möblierungsabstand, Lüftungsverhalten/Feuchtespitzen, reduzierte Luftumspülung) und konstruktive Faktoren (Wärmebrücke Laibung/Brüstungsbereich/Heizkörpernische, mögliche Schlagregenpfade, Leitungsleckage als nachrangiges Szenario) ist in allen Runs vorhanden und fachlich vergleichbar gewichtet.</w:t>
      </w:r>
    </w:p>
    <w:p w14:paraId="78934F7D" w14:textId="77777777" w:rsidR="00FE58D0" w:rsidRDefault="00FE58D0" w:rsidP="00FE58D0">
      <w:r>
        <w:t>• Das Schimmelrisiko wird durchgängig als „hoch“ (lokal) beurteilt und mit denselben Kernelementen begründet (bereits sichtbarer Befall, hohe lokale Oberflächen-</w:t>
      </w:r>
      <w:proofErr w:type="spellStart"/>
      <w:r>
        <w:t>rF</w:t>
      </w:r>
      <w:proofErr w:type="spellEnd"/>
      <w:r>
        <w:t>, überstellte Randzonen).</w:t>
      </w:r>
    </w:p>
    <w:p w14:paraId="465D66D2" w14:textId="77777777" w:rsidR="00FE58D0" w:rsidRDefault="00FE58D0" w:rsidP="00FE58D0">
      <w:r>
        <w:t>• Die vorgeschlagenen ergänzenden Prüfungen (</w:t>
      </w:r>
      <w:proofErr w:type="spellStart"/>
      <w:r>
        <w:t>Leckageausschluss</w:t>
      </w:r>
      <w:proofErr w:type="spellEnd"/>
      <w:r>
        <w:t xml:space="preserve"> Heizung, Feuchtemesskonzept am Bauteil, Außenprüfung Fassade/Anschlüsse, Thermografie, Langzeitmonitoring) sind in allen Läufen inhaltlich nahezu deckungsgleich, teilweise mit leicht unterschiedlicher Gewichtung und Reihenfolge.</w:t>
      </w:r>
    </w:p>
    <w:p w14:paraId="083E5C3C" w14:textId="77777777" w:rsidR="00FE58D0" w:rsidRDefault="00FE58D0" w:rsidP="00FE58D0"/>
    <w:p w14:paraId="5B652A62" w14:textId="77777777" w:rsidR="00FE58D0" w:rsidRDefault="00FE58D0" w:rsidP="00FE58D0">
      <w:r>
        <w:t>Die Unterschiede zwischen den Läufen liegen im Wesentlichen in:</w:t>
      </w:r>
    </w:p>
    <w:p w14:paraId="563199B3" w14:textId="77777777" w:rsidR="00FE58D0" w:rsidRDefault="00FE58D0" w:rsidP="00FE58D0">
      <w:r>
        <w:t>• Formulierungsvarianten und Wortwahl (z. B. stärkere oder schwächere Betonung einzelner Mitursachen),</w:t>
      </w:r>
    </w:p>
    <w:p w14:paraId="47E25174" w14:textId="77777777" w:rsidR="00FE58D0" w:rsidRDefault="00FE58D0" w:rsidP="00FE58D0">
      <w:r>
        <w:t xml:space="preserve">• der Tiefe der bauphysikalischen Herleitung (z. B. explizite Nennung bestimmter Temperatur- und </w:t>
      </w:r>
      <w:proofErr w:type="spellStart"/>
      <w:r>
        <w:t>rF</w:t>
      </w:r>
      <w:proofErr w:type="spellEnd"/>
      <w:r>
        <w:t>-Bereiche in einigen Läufen, kompaktere Darstellung in anderen),</w:t>
      </w:r>
    </w:p>
    <w:p w14:paraId="505B986B" w14:textId="77777777" w:rsidR="00FE58D0" w:rsidRDefault="00FE58D0" w:rsidP="00FE58D0">
      <w:r>
        <w:t>• punktuellen Ergänzungen (z. B. Hygieneverifikation, Salzdiagnostik, explizite Nennung möglicher Wandaufbauten wie „KS + WDVS“ in einzelnen Läufen).</w:t>
      </w:r>
    </w:p>
    <w:p w14:paraId="61091F1C" w14:textId="77777777" w:rsidR="00FE58D0" w:rsidRDefault="00FE58D0" w:rsidP="00FE58D0">
      <w:r>
        <w:t>Der als Referenz definierte Output TH-001_Output_Ref_v1.2 (Kopie eines der stabilen Läufe) repräsentiert die fachliche Kernaussage aller Runs in konzentrierter und gut strukturierter Form.</w:t>
      </w:r>
    </w:p>
    <w:p w14:paraId="082C5412" w14:textId="77777777" w:rsidR="00FE58D0" w:rsidRDefault="00FE58D0" w:rsidP="00FE58D0">
      <w:r>
        <w:t>Aus Sicht der Reproduzierbarkeit ergibt sich:</w:t>
      </w:r>
    </w:p>
    <w:p w14:paraId="0B8F96A0" w14:textId="77777777" w:rsidR="00FE58D0" w:rsidRDefault="00FE58D0" w:rsidP="00FE58D0">
      <w:r>
        <w:t>• Keine inhaltlichen Widersprüche zwischen den Läufen.</w:t>
      </w:r>
    </w:p>
    <w:p w14:paraId="1E9236FE" w14:textId="77777777" w:rsidR="00FE58D0" w:rsidRDefault="00FE58D0" w:rsidP="00FE58D0">
      <w:r>
        <w:t>• Keine wechselnden „Hauptursachen“; das Modul bleibt in der Ursachenzuordnung (Wärmebrücke + Nutzung + mögliche Außenfeuchte) stabil.</w:t>
      </w:r>
    </w:p>
    <w:p w14:paraId="6A5470F5" w14:textId="77777777" w:rsidR="00FE58D0" w:rsidRDefault="00FE58D0" w:rsidP="00FE58D0">
      <w:r>
        <w:t>• Die Variation bleibt im Rahmen eines erwartbaren sprachlichen und erläuternden Spielraums bei LLM-basierten Ausgaben.</w:t>
      </w:r>
    </w:p>
    <w:p w14:paraId="2ABCEDCF" w14:textId="3E56046E" w:rsidR="000155F3" w:rsidRDefault="00FE58D0" w:rsidP="00FE58D0">
      <w:r>
        <w:t>Testreihe A wird damit als „bestanden“ bewertet. Die Konstanz der Kernaussagen ist für den Einsatz des Thermo-Hygro-Moduls im Kontext vergleichbarer Fälle ausreichend.</w:t>
      </w:r>
    </w:p>
    <w:p w14:paraId="2CFBE442" w14:textId="77777777" w:rsidR="000155F3" w:rsidRDefault="000155F3">
      <w:pPr>
        <w:pStyle w:val="berschrift2"/>
        <w:rPr>
          <w:rFonts w:eastAsia="Times New Roman"/>
        </w:rPr>
      </w:pPr>
      <w:r>
        <w:rPr>
          <w:rFonts w:eastAsia="Times New Roman"/>
        </w:rPr>
        <w:t>C. Testreihe B – Halluzinationsprüfung</w:t>
      </w:r>
    </w:p>
    <w:p w14:paraId="56708B72" w14:textId="77777777" w:rsidR="000155F3" w:rsidRDefault="000155F3">
      <w:pPr>
        <w:rPr>
          <w:rFonts w:eastAsiaTheme="minorEastAsia"/>
        </w:rPr>
      </w:pPr>
      <w:r>
        <w:rPr>
          <w:b/>
          <w:bCs/>
        </w:rPr>
        <w:t>Ziel:</w:t>
      </w:r>
      <w:r>
        <w:t xml:space="preserve"> Prüfen, ob das Modul Aussagen trifft, die nicht im Input-Bundle bzw. im fachlichen Rahmen verankert sind (erfundene Normen, erfundene Leitfäden, spekulative Ursachenkaskaden ohne Datenbasis).</w:t>
      </w:r>
    </w:p>
    <w:p w14:paraId="36A27B97" w14:textId="77777777" w:rsidR="000155F3" w:rsidRDefault="000155F3">
      <w:r>
        <w:rPr>
          <w:b/>
          <w:bCs/>
        </w:rPr>
        <w:t>Beobachtungen:</w:t>
      </w:r>
    </w:p>
    <w:p w14:paraId="126C2E45" w14:textId="77777777" w:rsidR="000155F3" w:rsidRDefault="000155F3" w:rsidP="000155F3">
      <w:pPr>
        <w:numPr>
          <w:ilvl w:val="0"/>
          <w:numId w:val="18"/>
        </w:numPr>
        <w:spacing w:line="256" w:lineRule="auto"/>
        <w:rPr>
          <w:rFonts w:eastAsia="Times New Roman"/>
        </w:rPr>
      </w:pPr>
      <w:r>
        <w:rPr>
          <w:rFonts w:eastAsia="Times New Roman"/>
        </w:rPr>
        <w:lastRenderedPageBreak/>
        <w:t>Erfundenen Normen/Leitfäden: [Ja/Nein, Details]</w:t>
      </w:r>
    </w:p>
    <w:p w14:paraId="5B37BB72" w14:textId="77777777" w:rsidR="000155F3" w:rsidRDefault="000155F3" w:rsidP="000155F3">
      <w:pPr>
        <w:numPr>
          <w:ilvl w:val="0"/>
          <w:numId w:val="18"/>
        </w:numPr>
        <w:spacing w:line="256" w:lineRule="auto"/>
        <w:rPr>
          <w:rFonts w:eastAsia="Times New Roman"/>
        </w:rPr>
      </w:pPr>
      <w:r>
        <w:rPr>
          <w:rFonts w:eastAsia="Times New Roman"/>
        </w:rPr>
        <w:t>Spekulative Ursachenketten ohne Datengrundlage: [Ja/Nein, Details]</w:t>
      </w:r>
    </w:p>
    <w:p w14:paraId="041EEEF7" w14:textId="77777777" w:rsidR="000155F3" w:rsidRDefault="000155F3" w:rsidP="000155F3">
      <w:pPr>
        <w:numPr>
          <w:ilvl w:val="0"/>
          <w:numId w:val="18"/>
        </w:numPr>
        <w:spacing w:line="256" w:lineRule="auto"/>
        <w:rPr>
          <w:rFonts w:eastAsia="Times New Roman"/>
        </w:rPr>
      </w:pPr>
      <w:r>
        <w:rPr>
          <w:rFonts w:eastAsia="Times New Roman"/>
        </w:rPr>
        <w:t>Konsistenz zwischen den Läufen: [kurze Zusammenfassung]</w:t>
      </w:r>
    </w:p>
    <w:p w14:paraId="31C23872" w14:textId="77777777" w:rsidR="000155F3" w:rsidRDefault="000155F3">
      <w:pPr>
        <w:rPr>
          <w:rFonts w:eastAsiaTheme="minorEastAsia"/>
        </w:rPr>
      </w:pPr>
      <w:r>
        <w:rPr>
          <w:b/>
          <w:bCs/>
        </w:rPr>
        <w:t>Bewertung:</w:t>
      </w:r>
    </w:p>
    <w:p w14:paraId="5D8D1E86" w14:textId="77777777" w:rsidR="00FE58D0" w:rsidRPr="00FE58D0" w:rsidRDefault="00FE58D0" w:rsidP="00FE58D0">
      <w:pPr>
        <w:pStyle w:val="berschrift2"/>
        <w:rPr>
          <w:rFonts w:asciiTheme="minorHAnsi" w:eastAsiaTheme="minorHAnsi" w:hAnsiTheme="minorHAnsi" w:cstheme="minorBidi"/>
          <w:color w:val="auto"/>
          <w:sz w:val="22"/>
          <w:szCs w:val="22"/>
        </w:rPr>
      </w:pPr>
      <w:r w:rsidRPr="00FE58D0">
        <w:rPr>
          <w:rFonts w:asciiTheme="minorHAnsi" w:eastAsiaTheme="minorHAnsi" w:hAnsiTheme="minorHAnsi" w:cstheme="minorBidi"/>
          <w:color w:val="auto"/>
          <w:sz w:val="22"/>
          <w:szCs w:val="22"/>
        </w:rPr>
        <w:t>Bewertung Testreihe B (Halluzinationsprüfung)</w:t>
      </w:r>
    </w:p>
    <w:p w14:paraId="62BED18D" w14:textId="77777777" w:rsidR="00FE58D0" w:rsidRPr="00FE58D0" w:rsidRDefault="00FE58D0" w:rsidP="00FE58D0">
      <w:pPr>
        <w:pStyle w:val="berschrift2"/>
        <w:rPr>
          <w:rFonts w:asciiTheme="minorHAnsi" w:eastAsiaTheme="minorHAnsi" w:hAnsiTheme="minorHAnsi" w:cstheme="minorBidi"/>
          <w:color w:val="auto"/>
          <w:sz w:val="22"/>
          <w:szCs w:val="22"/>
        </w:rPr>
      </w:pPr>
      <w:r w:rsidRPr="00FE58D0">
        <w:rPr>
          <w:rFonts w:asciiTheme="minorHAnsi" w:eastAsiaTheme="minorHAnsi" w:hAnsiTheme="minorHAnsi" w:cstheme="minorBidi"/>
          <w:color w:val="auto"/>
          <w:sz w:val="22"/>
          <w:szCs w:val="22"/>
        </w:rPr>
        <w:t>Im Rahmen der zehn Läufe wurden die Ausgaben hinsichtlich typischer Halluzinationsmuster überprüft:</w:t>
      </w:r>
    </w:p>
    <w:p w14:paraId="59527947" w14:textId="77777777" w:rsidR="00FE58D0" w:rsidRPr="00FE58D0" w:rsidRDefault="00FE58D0" w:rsidP="00FE58D0">
      <w:pPr>
        <w:pStyle w:val="berschrift2"/>
        <w:rPr>
          <w:rFonts w:asciiTheme="minorHAnsi" w:eastAsiaTheme="minorHAnsi" w:hAnsiTheme="minorHAnsi" w:cstheme="minorBidi"/>
          <w:color w:val="auto"/>
          <w:sz w:val="22"/>
          <w:szCs w:val="22"/>
        </w:rPr>
      </w:pPr>
      <w:r w:rsidRPr="00FE58D0">
        <w:rPr>
          <w:rFonts w:asciiTheme="minorHAnsi" w:eastAsiaTheme="minorHAnsi" w:hAnsiTheme="minorHAnsi" w:cstheme="minorBidi"/>
          <w:color w:val="auto"/>
          <w:sz w:val="22"/>
          <w:szCs w:val="22"/>
        </w:rPr>
        <w:t>• Es wurden keine erfundenen Normen, Leitfäden oder Richtlinien mit konkreten Nummern oder Titeln verwendet. Verweise bleiben allgemein gehalten (z. B. „gängige Schimmelleitfäden“, „anerkannte Regeln der Bauphysik“).</w:t>
      </w:r>
    </w:p>
    <w:p w14:paraId="4C036C30" w14:textId="77777777" w:rsidR="00FE58D0" w:rsidRPr="00FE58D0" w:rsidRDefault="00FE58D0" w:rsidP="00FE58D0">
      <w:pPr>
        <w:pStyle w:val="berschrift2"/>
        <w:rPr>
          <w:rFonts w:asciiTheme="minorHAnsi" w:eastAsiaTheme="minorHAnsi" w:hAnsiTheme="minorHAnsi" w:cstheme="minorBidi"/>
          <w:color w:val="auto"/>
          <w:sz w:val="22"/>
          <w:szCs w:val="22"/>
        </w:rPr>
      </w:pPr>
      <w:r w:rsidRPr="00FE58D0">
        <w:rPr>
          <w:rFonts w:asciiTheme="minorHAnsi" w:eastAsiaTheme="minorHAnsi" w:hAnsiTheme="minorHAnsi" w:cstheme="minorBidi"/>
          <w:color w:val="auto"/>
          <w:sz w:val="22"/>
          <w:szCs w:val="22"/>
        </w:rPr>
        <w:t>• Die genannten Messwerte (Temperaturen, relative Luftfeuchte, Taupunktniveau) entsprechen konsistent den vorgegebenen Messdaten und sind rechnerisch plausibel abgeleitet.</w:t>
      </w:r>
    </w:p>
    <w:p w14:paraId="3A5A4DA5" w14:textId="77777777" w:rsidR="00FE58D0" w:rsidRPr="00FE58D0" w:rsidRDefault="00FE58D0" w:rsidP="00FE58D0">
      <w:pPr>
        <w:pStyle w:val="berschrift2"/>
        <w:rPr>
          <w:rFonts w:asciiTheme="minorHAnsi" w:eastAsiaTheme="minorHAnsi" w:hAnsiTheme="minorHAnsi" w:cstheme="minorBidi"/>
          <w:color w:val="auto"/>
          <w:sz w:val="22"/>
          <w:szCs w:val="22"/>
        </w:rPr>
      </w:pPr>
      <w:r w:rsidRPr="00FE58D0">
        <w:rPr>
          <w:rFonts w:asciiTheme="minorHAnsi" w:eastAsiaTheme="minorHAnsi" w:hAnsiTheme="minorHAnsi" w:cstheme="minorBidi"/>
          <w:color w:val="auto"/>
          <w:sz w:val="22"/>
          <w:szCs w:val="22"/>
        </w:rPr>
        <w:t>• Die benannten baulichen Elemente (Fensterlaibung, Brüstungsbereich, Heizkörpernische, Nord-Außenwand, Putzrisse) stehen im Einklang mit dem vorgegebenen Befund und werden nicht frei erfunden.</w:t>
      </w:r>
    </w:p>
    <w:p w14:paraId="35619579" w14:textId="77777777" w:rsidR="00FE58D0" w:rsidRPr="00FE58D0" w:rsidRDefault="00FE58D0" w:rsidP="00FE58D0">
      <w:pPr>
        <w:pStyle w:val="berschrift2"/>
        <w:rPr>
          <w:rFonts w:asciiTheme="minorHAnsi" w:eastAsiaTheme="minorHAnsi" w:hAnsiTheme="minorHAnsi" w:cstheme="minorBidi"/>
          <w:color w:val="auto"/>
          <w:sz w:val="22"/>
          <w:szCs w:val="22"/>
        </w:rPr>
      </w:pPr>
      <w:r w:rsidRPr="00FE58D0">
        <w:rPr>
          <w:rFonts w:asciiTheme="minorHAnsi" w:eastAsiaTheme="minorHAnsi" w:hAnsiTheme="minorHAnsi" w:cstheme="minorBidi"/>
          <w:color w:val="auto"/>
          <w:sz w:val="22"/>
          <w:szCs w:val="22"/>
        </w:rPr>
        <w:t>• Die Ursachenketten (Nutzung – Wärmebrücke – potenzieller Schlagregenpfad – mögliche Leitungsleckage) bleiben nachvollziehbar an der Datengrundlage orientiert; es werden keine exotischen, nicht begründeten Schadensszenarien eingeführt.</w:t>
      </w:r>
    </w:p>
    <w:p w14:paraId="2D7BB939" w14:textId="77777777" w:rsidR="00FE58D0" w:rsidRPr="00FE58D0" w:rsidRDefault="00FE58D0" w:rsidP="00FE58D0">
      <w:pPr>
        <w:pStyle w:val="berschrift2"/>
        <w:rPr>
          <w:rFonts w:asciiTheme="minorHAnsi" w:eastAsiaTheme="minorHAnsi" w:hAnsiTheme="minorHAnsi" w:cstheme="minorBidi"/>
          <w:color w:val="auto"/>
          <w:sz w:val="22"/>
          <w:szCs w:val="22"/>
        </w:rPr>
      </w:pPr>
      <w:r w:rsidRPr="00FE58D0">
        <w:rPr>
          <w:rFonts w:asciiTheme="minorHAnsi" w:eastAsiaTheme="minorHAnsi" w:hAnsiTheme="minorHAnsi" w:cstheme="minorBidi"/>
          <w:color w:val="auto"/>
          <w:sz w:val="22"/>
          <w:szCs w:val="22"/>
        </w:rPr>
        <w:t xml:space="preserve">Einzelne Läufe enthalten ergänzende Spezifizierungen, z. B. die Nennung eines möglichen Wandaufbaus (z. B. KS + WDVS) oder die etwas stärkere Betonung einzelner Feuchtepfade. Diese Zusätze sind fachlich plausibel, müssen jedoch vom Sachverständigen jeweils gegen die tatsächlich bekannten Objektunterlagen (Bauakte, Baualtersklasse, Bestandsaufnahme) gespiegelt werden, bevor sie in ein Gutachten übernommen werden. </w:t>
      </w:r>
    </w:p>
    <w:p w14:paraId="32812CA8" w14:textId="77777777" w:rsidR="00FE58D0" w:rsidRPr="00FE58D0" w:rsidRDefault="00FE58D0" w:rsidP="00FE58D0">
      <w:pPr>
        <w:pStyle w:val="berschrift2"/>
        <w:rPr>
          <w:rFonts w:asciiTheme="minorHAnsi" w:eastAsiaTheme="minorHAnsi" w:hAnsiTheme="minorHAnsi" w:cstheme="minorBidi"/>
          <w:color w:val="auto"/>
          <w:sz w:val="22"/>
          <w:szCs w:val="22"/>
        </w:rPr>
      </w:pPr>
      <w:r w:rsidRPr="00FE58D0">
        <w:rPr>
          <w:rFonts w:asciiTheme="minorHAnsi" w:eastAsiaTheme="minorHAnsi" w:hAnsiTheme="minorHAnsi" w:cstheme="minorBidi"/>
          <w:color w:val="auto"/>
          <w:sz w:val="22"/>
          <w:szCs w:val="22"/>
        </w:rPr>
        <w:t>Eine systematische Halluzination im engeren Sinne (freie Erfindung von Normen, Bauteilen oder Schadensursachen ohne Datenbasis) ist in den vorliegenden Läufen nicht erkennbar. Die Ausgaben bleiben im Rahmen einer fachlich plausiblen Interpretation der vorgegebenen Daten.</w:t>
      </w:r>
    </w:p>
    <w:p w14:paraId="21E3592D" w14:textId="77777777" w:rsidR="00FE58D0" w:rsidRDefault="00FE58D0" w:rsidP="00FE58D0">
      <w:pPr>
        <w:pStyle w:val="berschrift2"/>
        <w:rPr>
          <w:rFonts w:asciiTheme="minorHAnsi" w:eastAsiaTheme="minorHAnsi" w:hAnsiTheme="minorHAnsi" w:cstheme="minorBidi"/>
          <w:color w:val="auto"/>
          <w:sz w:val="22"/>
          <w:szCs w:val="22"/>
        </w:rPr>
      </w:pPr>
      <w:r w:rsidRPr="00FE58D0">
        <w:rPr>
          <w:rFonts w:asciiTheme="minorHAnsi" w:eastAsiaTheme="minorHAnsi" w:hAnsiTheme="minorHAnsi" w:cstheme="minorBidi"/>
          <w:color w:val="auto"/>
          <w:sz w:val="22"/>
          <w:szCs w:val="22"/>
        </w:rPr>
        <w:t>Ergebnis: Testreihe B wird als „bestanden“ bewertet, mit der Auflage, objektbezogene Detailangaben (z. B. konkreter Wandaufbau) im Einzelfall gegen den realen Befund zu verifizieren.</w:t>
      </w:r>
    </w:p>
    <w:p w14:paraId="349C2040" w14:textId="77777777" w:rsidR="00FE58D0" w:rsidRDefault="00FE58D0" w:rsidP="00FE58D0">
      <w:pPr>
        <w:pStyle w:val="berschrift2"/>
        <w:rPr>
          <w:rFonts w:asciiTheme="minorHAnsi" w:eastAsiaTheme="minorHAnsi" w:hAnsiTheme="minorHAnsi" w:cstheme="minorBidi"/>
          <w:color w:val="auto"/>
          <w:sz w:val="22"/>
          <w:szCs w:val="22"/>
        </w:rPr>
      </w:pPr>
    </w:p>
    <w:p w14:paraId="23773817" w14:textId="29E0EACA" w:rsidR="000155F3" w:rsidRDefault="000155F3" w:rsidP="00FE58D0">
      <w:pPr>
        <w:pStyle w:val="berschrift2"/>
        <w:rPr>
          <w:rFonts w:eastAsia="Times New Roman"/>
        </w:rPr>
      </w:pPr>
      <w:r>
        <w:rPr>
          <w:rFonts w:eastAsia="Times New Roman"/>
        </w:rPr>
        <w:t>D. Testreihe C – Normenkonformität / Plausibilität</w:t>
      </w:r>
    </w:p>
    <w:p w14:paraId="2FAF840E" w14:textId="77777777" w:rsidR="000155F3" w:rsidRDefault="000155F3">
      <w:pPr>
        <w:rPr>
          <w:rFonts w:eastAsiaTheme="minorEastAsia"/>
        </w:rPr>
      </w:pPr>
      <w:r>
        <w:rPr>
          <w:b/>
          <w:bCs/>
        </w:rPr>
        <w:t>Ziel:</w:t>
      </w:r>
      <w:r>
        <w:t xml:space="preserve"> Plausibilitätscheck der Aussagen im Licht der anerkannten Regeln der Bauphysik und gängiger Schimmel-Leitlinien (ohne wörtliche Normzitate).</w:t>
      </w:r>
    </w:p>
    <w:p w14:paraId="7B69D251" w14:textId="77777777" w:rsidR="000155F3" w:rsidRDefault="000155F3">
      <w:r>
        <w:rPr>
          <w:b/>
          <w:bCs/>
        </w:rPr>
        <w:t>Beobachtungen:</w:t>
      </w:r>
    </w:p>
    <w:p w14:paraId="25B66756" w14:textId="77777777" w:rsidR="000155F3" w:rsidRDefault="000155F3" w:rsidP="000155F3">
      <w:pPr>
        <w:numPr>
          <w:ilvl w:val="0"/>
          <w:numId w:val="19"/>
        </w:numPr>
        <w:spacing w:line="256" w:lineRule="auto"/>
        <w:rPr>
          <w:rFonts w:eastAsia="Times New Roman"/>
        </w:rPr>
      </w:pPr>
      <w:r>
        <w:rPr>
          <w:rFonts w:eastAsia="Times New Roman"/>
        </w:rPr>
        <w:t>Umgang mit Wärmebrücken und Oberflächentemperaturen: [Beurteilung]</w:t>
      </w:r>
    </w:p>
    <w:p w14:paraId="61A71619" w14:textId="77777777" w:rsidR="000155F3" w:rsidRDefault="000155F3" w:rsidP="000155F3">
      <w:pPr>
        <w:numPr>
          <w:ilvl w:val="0"/>
          <w:numId w:val="19"/>
        </w:numPr>
        <w:spacing w:line="256" w:lineRule="auto"/>
        <w:rPr>
          <w:rFonts w:eastAsia="Times New Roman"/>
        </w:rPr>
      </w:pPr>
      <w:r>
        <w:rPr>
          <w:rFonts w:eastAsia="Times New Roman"/>
        </w:rPr>
        <w:t>Einordnung Schimmelrisiko (niedrig/mittel/hoch) vs. Messwerte: [Beurteilung]</w:t>
      </w:r>
    </w:p>
    <w:p w14:paraId="62079E56" w14:textId="77777777" w:rsidR="000155F3" w:rsidRDefault="000155F3" w:rsidP="000155F3">
      <w:pPr>
        <w:numPr>
          <w:ilvl w:val="0"/>
          <w:numId w:val="19"/>
        </w:numPr>
        <w:spacing w:line="256" w:lineRule="auto"/>
        <w:rPr>
          <w:rFonts w:eastAsia="Times New Roman"/>
        </w:rPr>
      </w:pPr>
      <w:r>
        <w:rPr>
          <w:rFonts w:eastAsia="Times New Roman"/>
        </w:rPr>
        <w:t>Hinweise auf ergänzende Prüfungen (Thermografie, Feuchtemessung, Langzeitaufzeichnung): [Beurteilung]</w:t>
      </w:r>
    </w:p>
    <w:p w14:paraId="5952409A" w14:textId="77777777" w:rsidR="000155F3" w:rsidRDefault="000155F3">
      <w:pPr>
        <w:rPr>
          <w:rFonts w:eastAsiaTheme="minorEastAsia"/>
        </w:rPr>
      </w:pPr>
      <w:r>
        <w:rPr>
          <w:b/>
          <w:bCs/>
        </w:rPr>
        <w:lastRenderedPageBreak/>
        <w:t>Bewertung:</w:t>
      </w:r>
    </w:p>
    <w:p w14:paraId="4DE0882F" w14:textId="77777777" w:rsidR="00FE58D0" w:rsidRDefault="00FE58D0" w:rsidP="00FE58D0">
      <w:r>
        <w:t>Bewertung Testreihe C (Normenkonformität / Plausibilität)</w:t>
      </w:r>
    </w:p>
    <w:p w14:paraId="39D54665" w14:textId="77777777" w:rsidR="00FE58D0" w:rsidRDefault="00FE58D0" w:rsidP="00FE58D0"/>
    <w:p w14:paraId="45FA69EE" w14:textId="77777777" w:rsidR="00FE58D0" w:rsidRDefault="00FE58D0" w:rsidP="00FE58D0">
      <w:r>
        <w:t>Die Ausgaben wurden daraufhin bewertet, ob sie mit den anerkannten Regeln der Bauphysik und üblichen Schimmelleitfäden im Einklang stehen und ob die Argumentationslogik plausibel ist:</w:t>
      </w:r>
    </w:p>
    <w:p w14:paraId="595D4A87" w14:textId="77777777" w:rsidR="00FE58D0" w:rsidRDefault="00FE58D0" w:rsidP="00FE58D0">
      <w:r>
        <w:t>• Die Interpretation der Messwerte (Oberflächentemperaturen, Raumluftbedingungen, Taupunkt) entspricht einer üblichen bauphysikalischen Betrachtung: die kältesten Zonen (Laibung/Nische/Brüstungsbereich) werden als primäre Kondensations- und Schimmelrisikobereiche identifiziert.</w:t>
      </w:r>
    </w:p>
    <w:p w14:paraId="6B010EA2" w14:textId="77777777" w:rsidR="00FE58D0" w:rsidRDefault="00FE58D0" w:rsidP="00FE58D0">
      <w:r>
        <w:t>• Die Herleitung der schimmelrelevanten Oberflächen-</w:t>
      </w:r>
      <w:proofErr w:type="spellStart"/>
      <w:r>
        <w:t>rF</w:t>
      </w:r>
      <w:proofErr w:type="spellEnd"/>
      <w:r>
        <w:t xml:space="preserve"> aus Raumklima und Oberflächentemperaturen erfolgt in allen Läufen mit realistischen Größenordnungen (ca. 77–84 % im kritischen Bereich), ohne physikalische Widersprüche.</w:t>
      </w:r>
    </w:p>
    <w:p w14:paraId="229B44C7" w14:textId="77777777" w:rsidR="00FE58D0" w:rsidRDefault="00FE58D0" w:rsidP="00FE58D0">
      <w:r>
        <w:t>• Die Kombination aus geometrischen/konstruktiven Wärmebrücken, reduzierter Luftumspülung durch Möblierung und möglichem zusätzlichen Feuchteeintrag (Schlagregen, ggf. Leitungsleckage) entspricht typischen Schadensbildern in der Praxis und ist in dieser Form plausibel.</w:t>
      </w:r>
    </w:p>
    <w:p w14:paraId="39AA5DBC" w14:textId="77777777" w:rsidR="00FE58D0" w:rsidRDefault="00FE58D0" w:rsidP="00FE58D0">
      <w:r>
        <w:t>• Die Risikobewertung „hoch“ wird konsistent mit sichtbarem Schimmelbefall, den Messwerten und der Nutzungssituation (Schlafraum, nächtliche Feuchtespitzen, Nordorientierung) begründet.</w:t>
      </w:r>
    </w:p>
    <w:p w14:paraId="57DACE29" w14:textId="77777777" w:rsidR="00FE58D0" w:rsidRDefault="00FE58D0" w:rsidP="00FE58D0">
      <w:r>
        <w:t>• Die vorgeschlagenen Ergänzungsuntersuchungen (Feuchtemessungen am Bauteil, Dichtheits-/</w:t>
      </w:r>
      <w:proofErr w:type="spellStart"/>
      <w:r>
        <w:t>Leckageprüfung</w:t>
      </w:r>
      <w:proofErr w:type="spellEnd"/>
      <w:r>
        <w:t>, Fassadenprüfung, Thermografie, Monitoring) sind in Art und Reihenfolge fachlich nachvollziehbar und stehen im Rahmen dessen, was bei vergleichbaren Fällen üblich ist.</w:t>
      </w:r>
    </w:p>
    <w:p w14:paraId="7C17A5C6" w14:textId="77777777" w:rsidR="00FE58D0" w:rsidRDefault="00FE58D0" w:rsidP="00FE58D0">
      <w:r>
        <w:t>Es werden keine Sanierungsmaßnahmen oder Bewertungen gefordert, die nach derzeitiger Fachpraxis als unplausibel oder überzogen einzustufen wären. Die Ausgaben bewegen sich in einem fachlich konservativen, gut vertretbaren Rahmen.</w:t>
      </w:r>
    </w:p>
    <w:p w14:paraId="43853B59" w14:textId="4B039DF0" w:rsidR="000155F3" w:rsidRDefault="00FE58D0" w:rsidP="00FE58D0">
      <w:r>
        <w:t>Ergebnis: Testreihe C wird als „bestanden“ bewertet. Die inhaltliche Qualität ist für den Einsatz als technische Entscheidungs- und Argumentationshilfe in gerichtsfähigen Gutachten grundsätzlich geeignet, vorausgesetzt, die Textbausteine werden objektbezogen geprüft und ggf. angepasst.</w:t>
      </w:r>
    </w:p>
    <w:p w14:paraId="38E214DF" w14:textId="77777777" w:rsidR="00FE58D0" w:rsidRDefault="00FE58D0">
      <w:pPr>
        <w:pStyle w:val="berschrift2"/>
        <w:rPr>
          <w:rFonts w:eastAsia="Times New Roman"/>
        </w:rPr>
      </w:pPr>
    </w:p>
    <w:p w14:paraId="69429248" w14:textId="08B59357" w:rsidR="000155F3" w:rsidRDefault="000155F3">
      <w:pPr>
        <w:pStyle w:val="berschrift2"/>
        <w:rPr>
          <w:rFonts w:eastAsia="Times New Roman"/>
        </w:rPr>
      </w:pPr>
      <w:r>
        <w:rPr>
          <w:rFonts w:eastAsia="Times New Roman"/>
        </w:rPr>
        <w:t>E. Testreihe D – Boundary-Verhalten</w:t>
      </w:r>
    </w:p>
    <w:p w14:paraId="39F2C2E7" w14:textId="77777777" w:rsidR="000155F3" w:rsidRDefault="000155F3">
      <w:pPr>
        <w:rPr>
          <w:rFonts w:eastAsiaTheme="minorEastAsia"/>
        </w:rPr>
      </w:pPr>
      <w:r>
        <w:rPr>
          <w:b/>
          <w:bCs/>
        </w:rPr>
        <w:t>Ziel:</w:t>
      </w:r>
      <w:r>
        <w:t xml:space="preserve"> Beobachtung, ob das Modul bei mehrfach identischen Läufen in Extremsituationen (z. B. unklarer Datengrundlage) in Ausweichmuster oder instabiles Verhalten wechselt.</w:t>
      </w:r>
    </w:p>
    <w:p w14:paraId="312BDD3A" w14:textId="77777777" w:rsidR="000155F3" w:rsidRDefault="000155F3">
      <w:r>
        <w:rPr>
          <w:b/>
          <w:bCs/>
        </w:rPr>
        <w:t>Beobachtungen:</w:t>
      </w:r>
    </w:p>
    <w:p w14:paraId="7AD2D495" w14:textId="77777777" w:rsidR="000155F3" w:rsidRDefault="000155F3" w:rsidP="000155F3">
      <w:pPr>
        <w:numPr>
          <w:ilvl w:val="0"/>
          <w:numId w:val="20"/>
        </w:numPr>
        <w:spacing w:line="256" w:lineRule="auto"/>
        <w:rPr>
          <w:rFonts w:eastAsia="Times New Roman"/>
        </w:rPr>
      </w:pPr>
      <w:r>
        <w:rPr>
          <w:rFonts w:eastAsia="Times New Roman"/>
        </w:rPr>
        <w:t>Starke inhaltliche Sprünge zwischen den Läufen: [Ja/Nein, Details]</w:t>
      </w:r>
    </w:p>
    <w:p w14:paraId="05324228" w14:textId="77777777" w:rsidR="000155F3" w:rsidRDefault="000155F3" w:rsidP="000155F3">
      <w:pPr>
        <w:numPr>
          <w:ilvl w:val="0"/>
          <w:numId w:val="20"/>
        </w:numPr>
        <w:spacing w:line="256" w:lineRule="auto"/>
        <w:rPr>
          <w:rFonts w:eastAsia="Times New Roman"/>
        </w:rPr>
      </w:pPr>
      <w:r>
        <w:rPr>
          <w:rFonts w:eastAsia="Times New Roman"/>
        </w:rPr>
        <w:t>Wechselhafte Ursachenzuschreibungen ohne neue Datenbasis: [Ja/Nein, Details]</w:t>
      </w:r>
    </w:p>
    <w:p w14:paraId="7420ACE7" w14:textId="77777777" w:rsidR="000155F3" w:rsidRDefault="000155F3" w:rsidP="000155F3">
      <w:pPr>
        <w:numPr>
          <w:ilvl w:val="0"/>
          <w:numId w:val="20"/>
        </w:numPr>
        <w:spacing w:line="256" w:lineRule="auto"/>
        <w:rPr>
          <w:rFonts w:eastAsia="Times New Roman"/>
        </w:rPr>
      </w:pPr>
      <w:r>
        <w:rPr>
          <w:rFonts w:eastAsia="Times New Roman"/>
        </w:rPr>
        <w:t>Veränderungen im Risiko-Label (niedrig/mittel/hoch) bei identischem Input: [Ja/Nein, Details]</w:t>
      </w:r>
    </w:p>
    <w:p w14:paraId="249618D9" w14:textId="77777777" w:rsidR="000155F3" w:rsidRDefault="000155F3">
      <w:pPr>
        <w:rPr>
          <w:rFonts w:eastAsiaTheme="minorEastAsia"/>
        </w:rPr>
      </w:pPr>
      <w:r>
        <w:rPr>
          <w:b/>
          <w:bCs/>
        </w:rPr>
        <w:t>Bewertung:</w:t>
      </w:r>
    </w:p>
    <w:p w14:paraId="6A852483" w14:textId="77777777" w:rsidR="00FE58D0" w:rsidRDefault="00FE58D0" w:rsidP="00FE58D0">
      <w:r>
        <w:t>Bewertung Testreihe D (Boundary-Verhalten)</w:t>
      </w:r>
    </w:p>
    <w:p w14:paraId="10D695F3" w14:textId="77777777" w:rsidR="00FE58D0" w:rsidRDefault="00FE58D0" w:rsidP="00FE58D0"/>
    <w:p w14:paraId="13435562" w14:textId="77777777" w:rsidR="00FE58D0" w:rsidRDefault="00FE58D0" w:rsidP="00FE58D0">
      <w:r>
        <w:t>Im Fokus dieser Testreihe stand das Verhalten des Moduls bei mehrfach identischen Läufen mit derselben Datengrundlage (TH-001) im Hinblick auf sprunghafte inhaltliche Änderungen oder instabile Muster:</w:t>
      </w:r>
    </w:p>
    <w:p w14:paraId="49053A64" w14:textId="77777777" w:rsidR="00FE58D0" w:rsidRDefault="00FE58D0" w:rsidP="00FE58D0">
      <w:r>
        <w:t>• Die Grundstruktur der Ausgabe (Punkte 1–5) bleibt in allen Läufen vollständig erhalten.</w:t>
      </w:r>
    </w:p>
    <w:p w14:paraId="689DDA9A" w14:textId="77777777" w:rsidR="00FE58D0" w:rsidRDefault="00FE58D0" w:rsidP="00FE58D0">
      <w:r>
        <w:t xml:space="preserve">• Der Kernaussagekern (Schadensbild, bauphysikalische Einordnung, </w:t>
      </w:r>
      <w:proofErr w:type="spellStart"/>
      <w:r>
        <w:t>Ursachebündel</w:t>
      </w:r>
      <w:proofErr w:type="spellEnd"/>
      <w:r>
        <w:t>, Risikoeinstufung „hoch“, sinnvolle Zusatzprüfungen) ist in allen Runs deckungsgleich.</w:t>
      </w:r>
    </w:p>
    <w:p w14:paraId="0AD842B4" w14:textId="77777777" w:rsidR="00FE58D0" w:rsidRDefault="00FE58D0" w:rsidP="00FE58D0">
      <w:r>
        <w:t>• Es wurden keine Läufe beobachtet, in denen plötzlich völlig andere Hauptursachen (z. B. „reine Leitungsleckage ohne Wärmebrückeneinfluss“) in den Vordergrund rücken.</w:t>
      </w:r>
    </w:p>
    <w:p w14:paraId="2583B76D" w14:textId="77777777" w:rsidR="00FE58D0" w:rsidRDefault="00FE58D0" w:rsidP="00FE58D0">
      <w:r>
        <w:t>• Unterschiede betreffen primär Detailtiefe, Gewichtung und Formulierungsnuancen, nicht aber die grobe Zuordnung von Ursachen oder die Risikokategorie.</w:t>
      </w:r>
    </w:p>
    <w:p w14:paraId="4920A7BD" w14:textId="77777777" w:rsidR="00FE58D0" w:rsidRDefault="00FE58D0" w:rsidP="00FE58D0">
      <w:r>
        <w:t>• Sprachlich und argumentativ treten keine „</w:t>
      </w:r>
      <w:proofErr w:type="spellStart"/>
      <w:r>
        <w:t>Ausreißerläufe</w:t>
      </w:r>
      <w:proofErr w:type="spellEnd"/>
      <w:r>
        <w:t>“ auf, in denen das Modul in spekulative oder nicht mehr durch die Daten gedeckte Narrative abgleitet.</w:t>
      </w:r>
    </w:p>
    <w:p w14:paraId="35F82AC0" w14:textId="77777777" w:rsidR="00FE58D0" w:rsidRDefault="00FE58D0" w:rsidP="00FE58D0">
      <w:r>
        <w:t>Damit zeigt sich im getesteten Randbereich (identische Eingabedaten, wiederholte Ausführung) ein stabiles, kontrolliertes Antwortverhalten ohne erkennbares instabiles Boundary-Verhalten.</w:t>
      </w:r>
    </w:p>
    <w:p w14:paraId="2D440B49" w14:textId="0FF43ADB" w:rsidR="000155F3" w:rsidRDefault="00FE58D0" w:rsidP="00FE58D0">
      <w:r>
        <w:t>Ergebnis: Testreihe D wird als „bestanden“ bewertet.</w:t>
      </w:r>
    </w:p>
    <w:p w14:paraId="09F69026" w14:textId="77777777" w:rsidR="00FE58D0" w:rsidRDefault="00FE58D0">
      <w:pPr>
        <w:pStyle w:val="berschrift2"/>
        <w:rPr>
          <w:rFonts w:eastAsia="Times New Roman"/>
        </w:rPr>
      </w:pPr>
    </w:p>
    <w:p w14:paraId="2671A9D1" w14:textId="05EA561F" w:rsidR="000155F3" w:rsidRDefault="000155F3">
      <w:pPr>
        <w:pStyle w:val="berschrift2"/>
        <w:rPr>
          <w:rFonts w:eastAsia="Times New Roman"/>
        </w:rPr>
      </w:pPr>
      <w:r>
        <w:rPr>
          <w:rFonts w:eastAsia="Times New Roman"/>
        </w:rPr>
        <w:t>F. Gesamtergebnis und Freigabeempfehlung</w:t>
      </w:r>
    </w:p>
    <w:p w14:paraId="59536882" w14:textId="6C215A3A" w:rsidR="00FE58D0" w:rsidRPr="00FE58D0" w:rsidRDefault="000155F3" w:rsidP="00FE58D0">
      <w:pPr>
        <w:rPr>
          <w:rFonts w:eastAsiaTheme="minorEastAsia"/>
        </w:rPr>
      </w:pPr>
      <w:r>
        <w:rPr>
          <w:b/>
          <w:bCs/>
        </w:rPr>
        <w:t>Gesamtbewertung Testfall TH-001:</w:t>
      </w:r>
      <w:r w:rsidR="00FE58D0">
        <w:rPr>
          <w:b/>
          <w:bCs/>
        </w:rPr>
        <w:br/>
      </w:r>
      <w:r w:rsidR="00FE58D0">
        <w:rPr>
          <w:rFonts w:eastAsiaTheme="minorEastAsia"/>
        </w:rPr>
        <w:br/>
      </w:r>
      <w:r w:rsidR="00FE58D0" w:rsidRPr="00FE58D0">
        <w:rPr>
          <w:rFonts w:eastAsiaTheme="minorEastAsia"/>
        </w:rPr>
        <w:t xml:space="preserve">Die Testreihen A–D zeigen in Summe ein stabiles und fachlich plausibles Verhalten des BDA Thermo-Hygro-Diagnosemoduls im Testfall TH-001. Die Kernaussagen bleiben über zehn Läufe hinweg konsistent; die Variation beschränkt sich auf sprachliche und erläuternde Nuancen. Halluzinationen im engeren Sinne (erfundene Normen, frei erfundene Bauteile oder Schadensursachen ohne Bezug zur Datengrundlage) konnten nicht festgestellt werden. </w:t>
      </w:r>
    </w:p>
    <w:p w14:paraId="13E9E1BC" w14:textId="77777777" w:rsidR="00FE58D0" w:rsidRPr="00FE58D0" w:rsidRDefault="00FE58D0" w:rsidP="00FE58D0">
      <w:pPr>
        <w:rPr>
          <w:rFonts w:eastAsiaTheme="minorEastAsia"/>
        </w:rPr>
      </w:pPr>
      <w:r w:rsidRPr="00FE58D0">
        <w:rPr>
          <w:rFonts w:eastAsiaTheme="minorEastAsia"/>
        </w:rPr>
        <w:t>Die bauphysikalische Einordnung ist mit den anerkannten Regeln der Bauphysik vereinbar; die Ursacheneinordnung und das Schimmelrisiko sind realistisch und nachvollziehbar begründet. Die vorgeschlagenen Ergänzungsprüfungen entsprechen dem technisch üblichen Vorgehen bei vergleichbaren Schadensbildern.</w:t>
      </w:r>
    </w:p>
    <w:p w14:paraId="718C768A" w14:textId="37C7DEFF" w:rsidR="000155F3" w:rsidRDefault="00FE58D0" w:rsidP="00FE58D0">
      <w:pPr>
        <w:rPr>
          <w:rFonts w:eastAsiaTheme="minorEastAsia"/>
        </w:rPr>
      </w:pPr>
      <w:r w:rsidRPr="00FE58D0">
        <w:rPr>
          <w:rFonts w:eastAsiaTheme="minorEastAsia"/>
        </w:rPr>
        <w:t>Die definierten Referenzausgabe TH-001_Output_Ref_v1.2 bildet die fachliche Kernaussage in strukturierter und gut weiterverwendbarer Form ab und kann als Ausgangspunkt für gerichtsfähige Textfassungen herangezogen werden, sofern eine objektspezifische Anpassung durch den Sachverständigen erfolgt.</w:t>
      </w:r>
    </w:p>
    <w:p w14:paraId="34AC6E24" w14:textId="576C53BE" w:rsidR="000155F3" w:rsidRDefault="000155F3">
      <w:r>
        <w:t>[</w:t>
      </w:r>
      <w:proofErr w:type="gramStart"/>
      <w:r w:rsidR="00FE58D0">
        <w:t>X</w:t>
      </w:r>
      <w:r>
        <w:t xml:space="preserve"> ]</w:t>
      </w:r>
      <w:proofErr w:type="gramEnd"/>
      <w:r>
        <w:t xml:space="preserve"> </w:t>
      </w:r>
      <w:proofErr w:type="gramStart"/>
      <w:r>
        <w:t>Bestanden</w:t>
      </w:r>
      <w:proofErr w:type="gramEnd"/>
      <w:r>
        <w:t xml:space="preserve"> – Modul verhält sich im Testfall stabil und plausibel.</w:t>
      </w:r>
    </w:p>
    <w:p w14:paraId="560A2508" w14:textId="77777777" w:rsidR="000155F3" w:rsidRDefault="000155F3">
      <w:proofErr w:type="gramStart"/>
      <w:r>
        <w:t>[ ]</w:t>
      </w:r>
      <w:proofErr w:type="gramEnd"/>
      <w:r>
        <w:t xml:space="preserve"> </w:t>
      </w:r>
      <w:proofErr w:type="gramStart"/>
      <w:r>
        <w:t>Eingeschränkt</w:t>
      </w:r>
      <w:proofErr w:type="gramEnd"/>
      <w:r>
        <w:t xml:space="preserve"> bestanden – Hinweise auf Optimierungsbedarf (siehe Anmerkungen).</w:t>
      </w:r>
    </w:p>
    <w:p w14:paraId="5E3B8875" w14:textId="77777777" w:rsidR="000155F3" w:rsidRDefault="000155F3">
      <w:proofErr w:type="gramStart"/>
      <w:r>
        <w:t>[ ]</w:t>
      </w:r>
      <w:proofErr w:type="gramEnd"/>
      <w:r>
        <w:t xml:space="preserve"> Nicht bestanden – kritische Auffälligkeiten (Details siehe oben).</w:t>
      </w:r>
    </w:p>
    <w:p w14:paraId="2CEEE791" w14:textId="77777777" w:rsidR="000155F3" w:rsidRDefault="000155F3">
      <w:r>
        <w:rPr>
          <w:b/>
          <w:bCs/>
        </w:rPr>
        <w:t>Anmerkungen:</w:t>
      </w:r>
    </w:p>
    <w:p w14:paraId="74C7933A" w14:textId="77777777" w:rsidR="00FE58D0" w:rsidRDefault="00FE58D0" w:rsidP="00FE58D0">
      <w:r>
        <w:lastRenderedPageBreak/>
        <w:t>Für den operativen Einsatz wird empfohlen:</w:t>
      </w:r>
    </w:p>
    <w:p w14:paraId="276815BA" w14:textId="77777777" w:rsidR="00FE58D0" w:rsidRDefault="00FE58D0" w:rsidP="00FE58D0"/>
    <w:p w14:paraId="5F164B92" w14:textId="77777777" w:rsidR="00FE58D0" w:rsidRDefault="00FE58D0" w:rsidP="00FE58D0">
      <w:r>
        <w:t xml:space="preserve">• die Nutzung der Referenzfassung TH-001_Output_Ref_v1.2 als Ausgangstext, </w:t>
      </w:r>
    </w:p>
    <w:p w14:paraId="755E196C" w14:textId="77777777" w:rsidR="00FE58D0" w:rsidRDefault="00FE58D0" w:rsidP="00FE58D0">
      <w:r>
        <w:t>• eine konsequente objektspezifische Prüfung einzelner Detailangaben (z. B. Wandaufbau, Exposition, konkrete Leitungsführung) gegen Befundunterlagen,</w:t>
      </w:r>
    </w:p>
    <w:p w14:paraId="7930AA3A" w14:textId="77777777" w:rsidR="00FE58D0" w:rsidRDefault="00FE58D0" w:rsidP="00FE58D0">
      <w:r>
        <w:t>• die fortlaufende Dokumentation weiterer Testfälle (TH-00x, IR-00x etc.) in analoger Struktur, um die Stabilität des Moduls über unterschiedliche Schadensbilder hinweg zu belegen.</w:t>
      </w:r>
    </w:p>
    <w:p w14:paraId="1443DE33" w14:textId="77777777" w:rsidR="00FE58D0" w:rsidRDefault="00FE58D0" w:rsidP="00FE58D0"/>
    <w:p w14:paraId="17A1B554" w14:textId="5AFF6EA0" w:rsidR="000155F3" w:rsidRDefault="000155F3" w:rsidP="00FE58D0">
      <w:r>
        <w:rPr>
          <w:b/>
          <w:bCs/>
        </w:rPr>
        <w:t>Freigabeempfehlung für Thermo-Hygro-Prompt v1.2 im Kontext Testfall TH-001:</w:t>
      </w:r>
    </w:p>
    <w:p w14:paraId="31B61E66" w14:textId="0AAFF77D" w:rsidR="000155F3" w:rsidRDefault="000155F3">
      <w:r>
        <w:t>[</w:t>
      </w:r>
      <w:proofErr w:type="gramStart"/>
      <w:r w:rsidR="00FE58D0">
        <w:t>X</w:t>
      </w:r>
      <w:r>
        <w:t xml:space="preserve"> ]</w:t>
      </w:r>
      <w:proofErr w:type="gramEnd"/>
      <w:r>
        <w:t xml:space="preserve"> Freigabe für internen Einsatz (Genesis-Ebene 1–2)</w:t>
      </w:r>
    </w:p>
    <w:p w14:paraId="32B90273" w14:textId="77777777" w:rsidR="000155F3" w:rsidRDefault="000155F3">
      <w:proofErr w:type="gramStart"/>
      <w:r>
        <w:t>[ ]</w:t>
      </w:r>
      <w:proofErr w:type="gramEnd"/>
      <w:r>
        <w:t xml:space="preserve"> Freigabe mit Auflagen / Monitoring</w:t>
      </w:r>
    </w:p>
    <w:p w14:paraId="7E9FD5FB" w14:textId="77777777" w:rsidR="000155F3" w:rsidRDefault="000155F3">
      <w:proofErr w:type="gramStart"/>
      <w:r>
        <w:t>[ ]</w:t>
      </w:r>
      <w:proofErr w:type="gramEnd"/>
      <w:r>
        <w:t xml:space="preserve"> Keine Freigabe – Überarbeitung erforderlich</w:t>
      </w:r>
    </w:p>
    <w:p w14:paraId="54E10714" w14:textId="2359EB48" w:rsidR="000155F3" w:rsidRDefault="000155F3">
      <w:r>
        <w:t xml:space="preserve">Ort, Datum: </w:t>
      </w:r>
      <w:r w:rsidR="00FE58D0">
        <w:t>Wassenberg, 21.12.2025</w:t>
      </w:r>
    </w:p>
    <w:p w14:paraId="57D95EB5" w14:textId="2F831036" w:rsidR="000155F3" w:rsidRDefault="00FE58D0">
      <w:r>
        <w:rPr>
          <w:noProof/>
        </w:rPr>
        <w:drawing>
          <wp:anchor distT="0" distB="0" distL="114300" distR="114300" simplePos="0" relativeHeight="251658240" behindDoc="0" locked="0" layoutInCell="1" allowOverlap="1" wp14:anchorId="50C0D44A" wp14:editId="5F2FD728">
            <wp:simplePos x="0" y="0"/>
            <wp:positionH relativeFrom="column">
              <wp:posOffset>2265507</wp:posOffset>
            </wp:positionH>
            <wp:positionV relativeFrom="paragraph">
              <wp:posOffset>3117</wp:posOffset>
            </wp:positionV>
            <wp:extent cx="1979930" cy="872490"/>
            <wp:effectExtent l="0" t="0" r="1270" b="3810"/>
            <wp:wrapNone/>
            <wp:docPr id="1769238471" name="Grafik 1" descr="Ein Bild, das Entwurf, Zeichnung, Kreis,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238471" name="Grafik 1" descr="Ein Bild, das Entwurf, Zeichnung, Kreis, Kunst enthält.&#10;&#10;KI-generierte Inhalte können fehlerhaft sein."/>
                    <pic:cNvPicPr/>
                  </pic:nvPicPr>
                  <pic:blipFill>
                    <a:blip r:embed="rId5" cstate="print">
                      <a:extLst>
                        <a:ext uri="{28A0092B-C50C-407E-A947-70E740481C1C}">
                          <a14:useLocalDpi xmlns:a14="http://schemas.microsoft.com/office/drawing/2010/main" val="0"/>
                        </a:ext>
                      </a:extLst>
                    </a:blip>
                    <a:stretch>
                      <a:fillRect/>
                    </a:stretch>
                  </pic:blipFill>
                  <pic:spPr>
                    <a:xfrm>
                      <a:off x="0" y="0"/>
                      <a:ext cx="1979930" cy="872490"/>
                    </a:xfrm>
                    <a:prstGeom prst="rect">
                      <a:avLst/>
                    </a:prstGeom>
                  </pic:spPr>
                </pic:pic>
              </a:graphicData>
            </a:graphic>
          </wp:anchor>
        </w:drawing>
      </w:r>
      <w:r w:rsidR="000155F3">
        <w:t xml:space="preserve">Prüfer (Name): </w:t>
      </w:r>
      <w:r>
        <w:t xml:space="preserve">Marcus Steffen      </w:t>
      </w:r>
      <w:r w:rsidR="000155F3">
        <w:t xml:space="preserve">Unterschrift: </w:t>
      </w:r>
    </w:p>
    <w:p w14:paraId="6F041CB8" w14:textId="79742B5E" w:rsidR="000155F3" w:rsidRPr="000155F3" w:rsidRDefault="000155F3" w:rsidP="000155F3">
      <w:r w:rsidRPr="000155F3">
        <w:t xml:space="preserve"> </w:t>
      </w:r>
    </w:p>
    <w:p w14:paraId="6C4AD057" w14:textId="173C438D" w:rsidR="0037316C" w:rsidRPr="000155F3" w:rsidRDefault="0037316C" w:rsidP="000155F3"/>
    <w:sectPr w:rsidR="0037316C" w:rsidRPr="000155F3" w:rsidSect="00E92DA6">
      <w:pgSz w:w="11906" w:h="16838"/>
      <w:pgMar w:top="1418" w:right="1134" w:bottom="1418" w:left="1985" w:header="425" w:footer="425"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44DE8"/>
    <w:multiLevelType w:val="multilevel"/>
    <w:tmpl w:val="E5B60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8700CD"/>
    <w:multiLevelType w:val="multilevel"/>
    <w:tmpl w:val="E926F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C15AB0"/>
    <w:multiLevelType w:val="multilevel"/>
    <w:tmpl w:val="B956C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3C077F"/>
    <w:multiLevelType w:val="multilevel"/>
    <w:tmpl w:val="ABA8F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0E7755"/>
    <w:multiLevelType w:val="multilevel"/>
    <w:tmpl w:val="77989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4F49EA"/>
    <w:multiLevelType w:val="multilevel"/>
    <w:tmpl w:val="D228C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6E4F5F"/>
    <w:multiLevelType w:val="multilevel"/>
    <w:tmpl w:val="84289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730851"/>
    <w:multiLevelType w:val="multilevel"/>
    <w:tmpl w:val="9790F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043D18"/>
    <w:multiLevelType w:val="multilevel"/>
    <w:tmpl w:val="F6CA2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0860F19"/>
    <w:multiLevelType w:val="multilevel"/>
    <w:tmpl w:val="E8442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115D0B"/>
    <w:multiLevelType w:val="multilevel"/>
    <w:tmpl w:val="5CB2B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B485619"/>
    <w:multiLevelType w:val="multilevel"/>
    <w:tmpl w:val="97285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F6744E"/>
    <w:multiLevelType w:val="multilevel"/>
    <w:tmpl w:val="513E0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B87654"/>
    <w:multiLevelType w:val="multilevel"/>
    <w:tmpl w:val="71309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7DD7496"/>
    <w:multiLevelType w:val="multilevel"/>
    <w:tmpl w:val="EC30A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F31625"/>
    <w:multiLevelType w:val="multilevel"/>
    <w:tmpl w:val="82C42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1F00E85"/>
    <w:multiLevelType w:val="multilevel"/>
    <w:tmpl w:val="78442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803291"/>
    <w:multiLevelType w:val="multilevel"/>
    <w:tmpl w:val="46F8E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7DE6C11"/>
    <w:multiLevelType w:val="multilevel"/>
    <w:tmpl w:val="4454C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8A314D"/>
    <w:multiLevelType w:val="multilevel"/>
    <w:tmpl w:val="2C122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39664122">
    <w:abstractNumId w:val="11"/>
  </w:num>
  <w:num w:numId="2" w16cid:durableId="1097749172">
    <w:abstractNumId w:val="7"/>
  </w:num>
  <w:num w:numId="3" w16cid:durableId="1080059952">
    <w:abstractNumId w:val="10"/>
  </w:num>
  <w:num w:numId="4" w16cid:durableId="1694526043">
    <w:abstractNumId w:val="3"/>
  </w:num>
  <w:num w:numId="5" w16cid:durableId="757294527">
    <w:abstractNumId w:val="15"/>
  </w:num>
  <w:num w:numId="6" w16cid:durableId="1852912461">
    <w:abstractNumId w:val="14"/>
  </w:num>
  <w:num w:numId="7" w16cid:durableId="1932810476">
    <w:abstractNumId w:val="12"/>
  </w:num>
  <w:num w:numId="8" w16cid:durableId="302273531">
    <w:abstractNumId w:val="6"/>
  </w:num>
  <w:num w:numId="9" w16cid:durableId="1017119812">
    <w:abstractNumId w:val="4"/>
  </w:num>
  <w:num w:numId="10" w16cid:durableId="550046177">
    <w:abstractNumId w:val="1"/>
  </w:num>
  <w:num w:numId="11" w16cid:durableId="1467550103">
    <w:abstractNumId w:val="5"/>
  </w:num>
  <w:num w:numId="12" w16cid:durableId="177349256">
    <w:abstractNumId w:val="17"/>
  </w:num>
  <w:num w:numId="13" w16cid:durableId="1333415107">
    <w:abstractNumId w:val="16"/>
  </w:num>
  <w:num w:numId="14" w16cid:durableId="1835875189">
    <w:abstractNumId w:val="2"/>
  </w:num>
  <w:num w:numId="15" w16cid:durableId="80760189">
    <w:abstractNumId w:val="13"/>
  </w:num>
  <w:num w:numId="16" w16cid:durableId="1556429133">
    <w:abstractNumId w:val="9"/>
  </w:num>
  <w:num w:numId="17" w16cid:durableId="817458490">
    <w:abstractNumId w:val="8"/>
  </w:num>
  <w:num w:numId="18" w16cid:durableId="995693082">
    <w:abstractNumId w:val="19"/>
  </w:num>
  <w:num w:numId="19" w16cid:durableId="1813597718">
    <w:abstractNumId w:val="18"/>
  </w:num>
  <w:num w:numId="20" w16cid:durableId="95445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ED1"/>
    <w:rsid w:val="000155F3"/>
    <w:rsid w:val="000277C7"/>
    <w:rsid w:val="000F28D0"/>
    <w:rsid w:val="00273ED1"/>
    <w:rsid w:val="0037316C"/>
    <w:rsid w:val="006618FF"/>
    <w:rsid w:val="0069769F"/>
    <w:rsid w:val="00C9196A"/>
    <w:rsid w:val="00D311DD"/>
    <w:rsid w:val="00D3623A"/>
    <w:rsid w:val="00E92DA6"/>
    <w:rsid w:val="00F02C3E"/>
    <w:rsid w:val="00F56964"/>
    <w:rsid w:val="00FE58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A53C7"/>
  <w15:chartTrackingRefBased/>
  <w15:docId w15:val="{D7EC873A-1A56-4FD4-8BF3-A8F8BC019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73ED1"/>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berschrift2">
    <w:name w:val="heading 2"/>
    <w:basedOn w:val="Standard"/>
    <w:next w:val="Standard"/>
    <w:link w:val="berschrift2Zchn"/>
    <w:uiPriority w:val="9"/>
    <w:unhideWhenUsed/>
    <w:qFormat/>
    <w:rsid w:val="00273ED1"/>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berschrift3">
    <w:name w:val="heading 3"/>
    <w:basedOn w:val="Standard"/>
    <w:next w:val="Standard"/>
    <w:link w:val="berschrift3Zchn"/>
    <w:uiPriority w:val="9"/>
    <w:semiHidden/>
    <w:unhideWhenUsed/>
    <w:qFormat/>
    <w:rsid w:val="00273ED1"/>
    <w:pPr>
      <w:keepNext/>
      <w:keepLines/>
      <w:spacing w:before="160" w:after="80"/>
      <w:outlineLvl w:val="2"/>
    </w:pPr>
    <w:rPr>
      <w:rFonts w:eastAsiaTheme="majorEastAsia" w:cstheme="majorBidi"/>
      <w:color w:val="2E74B5" w:themeColor="accent1" w:themeShade="BF"/>
      <w:sz w:val="28"/>
      <w:szCs w:val="28"/>
    </w:rPr>
  </w:style>
  <w:style w:type="paragraph" w:styleId="berschrift4">
    <w:name w:val="heading 4"/>
    <w:basedOn w:val="Standard"/>
    <w:next w:val="Standard"/>
    <w:link w:val="berschrift4Zchn"/>
    <w:uiPriority w:val="9"/>
    <w:semiHidden/>
    <w:unhideWhenUsed/>
    <w:qFormat/>
    <w:rsid w:val="00273ED1"/>
    <w:pPr>
      <w:keepNext/>
      <w:keepLines/>
      <w:spacing w:before="80" w:after="40"/>
      <w:outlineLvl w:val="3"/>
    </w:pPr>
    <w:rPr>
      <w:rFonts w:eastAsiaTheme="majorEastAsia"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273ED1"/>
    <w:pPr>
      <w:keepNext/>
      <w:keepLines/>
      <w:spacing w:before="80" w:after="40"/>
      <w:outlineLvl w:val="4"/>
    </w:pPr>
    <w:rPr>
      <w:rFonts w:eastAsiaTheme="majorEastAsia" w:cstheme="majorBidi"/>
      <w:color w:val="2E74B5" w:themeColor="accent1" w:themeShade="BF"/>
    </w:rPr>
  </w:style>
  <w:style w:type="paragraph" w:styleId="berschrift6">
    <w:name w:val="heading 6"/>
    <w:basedOn w:val="Standard"/>
    <w:next w:val="Standard"/>
    <w:link w:val="berschrift6Zchn"/>
    <w:uiPriority w:val="9"/>
    <w:semiHidden/>
    <w:unhideWhenUsed/>
    <w:qFormat/>
    <w:rsid w:val="00273ED1"/>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73ED1"/>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73ED1"/>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73ED1"/>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73ED1"/>
    <w:rPr>
      <w:rFonts w:asciiTheme="majorHAnsi" w:eastAsiaTheme="majorEastAsia" w:hAnsiTheme="majorHAnsi" w:cstheme="majorBidi"/>
      <w:color w:val="2E74B5" w:themeColor="accent1" w:themeShade="BF"/>
      <w:sz w:val="40"/>
      <w:szCs w:val="40"/>
    </w:rPr>
  </w:style>
  <w:style w:type="character" w:customStyle="1" w:styleId="berschrift2Zchn">
    <w:name w:val="Überschrift 2 Zchn"/>
    <w:basedOn w:val="Absatz-Standardschriftart"/>
    <w:link w:val="berschrift2"/>
    <w:uiPriority w:val="9"/>
    <w:semiHidden/>
    <w:rsid w:val="00273ED1"/>
    <w:rPr>
      <w:rFonts w:asciiTheme="majorHAnsi" w:eastAsiaTheme="majorEastAsia" w:hAnsiTheme="majorHAnsi" w:cstheme="majorBidi"/>
      <w:color w:val="2E74B5" w:themeColor="accent1" w:themeShade="BF"/>
      <w:sz w:val="32"/>
      <w:szCs w:val="32"/>
    </w:rPr>
  </w:style>
  <w:style w:type="character" w:customStyle="1" w:styleId="berschrift3Zchn">
    <w:name w:val="Überschrift 3 Zchn"/>
    <w:basedOn w:val="Absatz-Standardschriftart"/>
    <w:link w:val="berschrift3"/>
    <w:uiPriority w:val="9"/>
    <w:semiHidden/>
    <w:rsid w:val="00273ED1"/>
    <w:rPr>
      <w:rFonts w:eastAsiaTheme="majorEastAsia" w:cstheme="majorBidi"/>
      <w:color w:val="2E74B5" w:themeColor="accent1" w:themeShade="BF"/>
      <w:sz w:val="28"/>
      <w:szCs w:val="28"/>
    </w:rPr>
  </w:style>
  <w:style w:type="character" w:customStyle="1" w:styleId="berschrift4Zchn">
    <w:name w:val="Überschrift 4 Zchn"/>
    <w:basedOn w:val="Absatz-Standardschriftart"/>
    <w:link w:val="berschrift4"/>
    <w:uiPriority w:val="9"/>
    <w:semiHidden/>
    <w:rsid w:val="00273ED1"/>
    <w:rPr>
      <w:rFonts w:eastAsiaTheme="majorEastAsia"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273ED1"/>
    <w:rPr>
      <w:rFonts w:eastAsiaTheme="majorEastAsia" w:cstheme="majorBidi"/>
      <w:color w:val="2E74B5" w:themeColor="accent1" w:themeShade="BF"/>
    </w:rPr>
  </w:style>
  <w:style w:type="character" w:customStyle="1" w:styleId="berschrift6Zchn">
    <w:name w:val="Überschrift 6 Zchn"/>
    <w:basedOn w:val="Absatz-Standardschriftart"/>
    <w:link w:val="berschrift6"/>
    <w:uiPriority w:val="9"/>
    <w:semiHidden/>
    <w:rsid w:val="00273ED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73ED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73ED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73ED1"/>
    <w:rPr>
      <w:rFonts w:eastAsiaTheme="majorEastAsia" w:cstheme="majorBidi"/>
      <w:color w:val="272727" w:themeColor="text1" w:themeTint="D8"/>
    </w:rPr>
  </w:style>
  <w:style w:type="paragraph" w:styleId="Titel">
    <w:name w:val="Title"/>
    <w:basedOn w:val="Standard"/>
    <w:next w:val="Standard"/>
    <w:link w:val="TitelZchn"/>
    <w:uiPriority w:val="10"/>
    <w:qFormat/>
    <w:rsid w:val="00273ED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73ED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73ED1"/>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73ED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73ED1"/>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73ED1"/>
    <w:rPr>
      <w:i/>
      <w:iCs/>
      <w:color w:val="404040" w:themeColor="text1" w:themeTint="BF"/>
    </w:rPr>
  </w:style>
  <w:style w:type="paragraph" w:styleId="Listenabsatz">
    <w:name w:val="List Paragraph"/>
    <w:basedOn w:val="Standard"/>
    <w:uiPriority w:val="34"/>
    <w:qFormat/>
    <w:rsid w:val="00273ED1"/>
    <w:pPr>
      <w:ind w:left="720"/>
      <w:contextualSpacing/>
    </w:pPr>
  </w:style>
  <w:style w:type="character" w:styleId="IntensiveHervorhebung">
    <w:name w:val="Intense Emphasis"/>
    <w:basedOn w:val="Absatz-Standardschriftart"/>
    <w:uiPriority w:val="21"/>
    <w:qFormat/>
    <w:rsid w:val="00273ED1"/>
    <w:rPr>
      <w:i/>
      <w:iCs/>
      <w:color w:val="2E74B5" w:themeColor="accent1" w:themeShade="BF"/>
    </w:rPr>
  </w:style>
  <w:style w:type="paragraph" w:styleId="IntensivesZitat">
    <w:name w:val="Intense Quote"/>
    <w:basedOn w:val="Standard"/>
    <w:next w:val="Standard"/>
    <w:link w:val="IntensivesZitatZchn"/>
    <w:uiPriority w:val="30"/>
    <w:qFormat/>
    <w:rsid w:val="00273ED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ivesZitatZchn">
    <w:name w:val="Intensives Zitat Zchn"/>
    <w:basedOn w:val="Absatz-Standardschriftart"/>
    <w:link w:val="IntensivesZitat"/>
    <w:uiPriority w:val="30"/>
    <w:rsid w:val="00273ED1"/>
    <w:rPr>
      <w:i/>
      <w:iCs/>
      <w:color w:val="2E74B5" w:themeColor="accent1" w:themeShade="BF"/>
    </w:rPr>
  </w:style>
  <w:style w:type="character" w:styleId="IntensiverVerweis">
    <w:name w:val="Intense Reference"/>
    <w:basedOn w:val="Absatz-Standardschriftart"/>
    <w:uiPriority w:val="32"/>
    <w:qFormat/>
    <w:rsid w:val="00273ED1"/>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1462</Words>
  <Characters>12435</Characters>
  <Application>Microsoft Office Word</Application>
  <DocSecurity>0</DocSecurity>
  <Lines>345</Lines>
  <Paragraphs>272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Steffen - Sachverständiger</dc:creator>
  <cp:keywords/>
  <dc:description/>
  <cp:lastModifiedBy>Marcus Steffen - Sachverständiger</cp:lastModifiedBy>
  <cp:revision>4</cp:revision>
  <dcterms:created xsi:type="dcterms:W3CDTF">2025-12-21T20:00:00Z</dcterms:created>
  <dcterms:modified xsi:type="dcterms:W3CDTF">2025-12-21T21:58:00Z</dcterms:modified>
</cp:coreProperties>
</file>